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bbd3212a24cad" /></Relationships>
</file>

<file path=word/document.xml><?xml version="1.0" encoding="utf-8"?>
<w:document xmlns:w="http://schemas.openxmlformats.org/wordprocessingml/2006/main">
  <w:body>
    <w:p>
      <w:r>
        <w:t>H-0420.3</w:t>
      </w:r>
    </w:p>
    <w:p>
      <w:pPr>
        <w:jc w:val="center"/>
      </w:pPr>
      <w:r>
        <w:t>_______________________________________________</w:t>
      </w:r>
    </w:p>
    <w:p/>
    <w:p>
      <w:pPr>
        <w:jc w:val="center"/>
      </w:pPr>
      <w:r>
        <w:rPr>
          <w:b/>
        </w:rPr>
        <w:t>HOUSE BILL 1450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Rodne, Walkinshaw, Harris, Cody, Goodman, Senn, Walsh, Riccelli, Robinson, Orwall, Moeller, Gregerson, Van De Wege, Ormsby, Clibborn, McBride, Tharinger, Kagi, and Stanford</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and 71.05.320; reenacting and amending RCW 71.05.020 and 71.05.020;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treatment, the petition may only be for outpatient evaluation</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determine whether the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treatment,</w:t>
      </w:r>
      <w:r>
        <w:rPr/>
        <w:t xml:space="preserve">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treatment, and that the person does not present a likelihood of serious harm or grave disability, the court shall order an appropriate less restrictive course of treatment not to exceed ninety days, and may not order inpatient treatment</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grounds set forth in RCW 71.05.280(5) provide the only basis for commitment, the court must order an appropriate less restrictive course of treatment not to exceed ninety days, and may not order inpatient treatment.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w:t>
      </w:r>
      <w:r>
        <w:t>((</w:t>
      </w:r>
      <w:r>
        <w:rPr>
          <w:strike/>
        </w:rPr>
        <w:t xml:space="preserve">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strike/>
        </w:rPr>
        <w:t xml:space="preserve">(5)</w:t>
      </w:r>
      <w:r>
        <w:t>))</w:t>
      </w:r>
      <w:r>
        <w:rPr/>
        <w:t xml:space="preserve"> A new petition for involuntary treatment filed under subsection (3) </w:t>
      </w:r>
      <w:r>
        <w:t>((</w:t>
      </w:r>
      <w:r>
        <w:rPr>
          <w:strike/>
        </w:rPr>
        <w:t xml:space="preserve">or (4)</w:t>
      </w:r>
      <w:r>
        <w:t>))</w:t>
      </w:r>
      <w:r>
        <w:rPr/>
        <w:t xml:space="preserve">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t>((</w:t>
      </w:r>
      <w:r>
        <w:rPr>
          <w:strike/>
        </w:rPr>
        <w:t xml:space="preserve">(6)</w:t>
      </w:r>
      <w:r>
        <w:t>))</w:t>
      </w:r>
      <w:r>
        <w:rPr>
          <w:u w:val="single"/>
        </w:rPr>
        <w:t xml:space="preserve">(5)</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(3)(e) of this section, the court may enter an order for less restrictive alternative treatment not to exceed one hundred eighty days, and may not enter an order for inpatient treatment.</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(3)(e) of this section</w:t>
      </w:r>
      <w:r>
        <w:rPr/>
        <w:t xml:space="preserve"> is not permissible under subsection </w:t>
      </w:r>
      <w:r>
        <w:t>((</w:t>
      </w:r>
      <w:r>
        <w:rPr>
          <w:strike/>
        </w:rPr>
        <w:t xml:space="preserve">(4)</w:t>
      </w:r>
      <w:r>
        <w:t>))</w:t>
      </w:r>
      <w:r>
        <w:rPr>
          <w:u w:val="single"/>
        </w:rPr>
        <w:t xml:space="preserve">(3)</w:t>
      </w:r>
      <w:r>
        <w:rPr/>
        <w:t xml:space="preserve"> of this section if</w:t>
      </w:r>
      <w:r>
        <w:rPr>
          <w:u w:val="single"/>
        </w:rPr>
        <w:t xml:space="preserve">: (i) T</w:t>
      </w:r>
      <w:r>
        <w:rPr/>
        <w:t xml:space="preserve">hirty-six months have passed since the last date of discharge from detention for inpatient treatment that preceded the current less restrictive alternative order, </w:t>
      </w:r>
      <w:r>
        <w:t>((</w:t>
      </w:r>
      <w:r>
        <w:rPr>
          <w:strike/>
        </w:rPr>
        <w:t xml:space="preserve">nor shall a commitment under subsection (4) of this section be permissible if</w:t>
      </w:r>
      <w:r>
        <w:t>))</w:t>
      </w:r>
      <w:r>
        <w:rPr>
          <w:u w:val="single"/>
        </w:rPr>
        <w:t xml:space="preserve">or (ii)</w:t>
      </w:r>
      <w:r>
        <w:rPr/>
        <w:t xml:space="preserve"> the likelihood of serious harm </w:t>
      </w:r>
      <w:r>
        <w:t>((</w:t>
      </w:r>
      <w:r>
        <w:rPr>
          <w:strike/>
        </w:rPr>
        <w:t xml:space="preserve">in subsection (4)(c) of this section</w:t>
      </w:r>
      <w:r>
        <w:t>))</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t>((</w:t>
      </w:r>
      <w:r>
        <w:rPr>
          <w:strike/>
        </w:rPr>
        <w:t xml:space="preserve">(7)</w:t>
      </w:r>
      <w:r>
        <w:t>))</w:t>
      </w:r>
      <w:r>
        <w:rPr>
          <w:u w:val="single"/>
        </w:rPr>
        <w:t xml:space="preserve">(6)</w:t>
      </w:r>
      <w:r>
        <w:rPr/>
        <w:t xml:space="preserve">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11aa653b29554c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ee0278965c4e8a" /><Relationship Type="http://schemas.openxmlformats.org/officeDocument/2006/relationships/footer" Target="/word/footer.xml" Id="R11aa653b29554ccd" /></Relationships>
</file>