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56d8381bde4cef" /></Relationships>
</file>

<file path=word/document.xml><?xml version="1.0" encoding="utf-8"?>
<w:document xmlns:w="http://schemas.openxmlformats.org/wordprocessingml/2006/main">
  <w:body>
    <w:p>
      <w:r>
        <w:t>H-0017.1</w:t>
      </w:r>
    </w:p>
    <w:p>
      <w:pPr>
        <w:jc w:val="center"/>
      </w:pPr>
      <w:r>
        <w:t>_______________________________________________</w:t>
      </w:r>
    </w:p>
    <w:p/>
    <w:p>
      <w:pPr>
        <w:jc w:val="center"/>
      </w:pPr>
      <w:r>
        <w:rPr>
          <w:b/>
        </w:rPr>
        <w:t>HOUSE BILL 1423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Scott, Young, Caldier, Shea, Taylor, Short, Kochmar, G. Hunt, Condotta, Van Werven, Klippert, Pike, Wilson, Holy, Griffey, Buys, Muri, and Pollet</w:t>
      </w:r>
    </w:p>
    <w:p/>
    <w:p>
      <w:r>
        <w:rPr>
          <w:t xml:space="preserve">Read first time 01/20/15.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female genital mutilation; amending RCW 26.44.020; adding a new section to chapter 9A.36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 person is guilty of female genital mutilation when any of the following occur:</w:t>
      </w:r>
    </w:p>
    <w:p>
      <w:pPr>
        <w:spacing w:before="0" w:after="0" w:line="408" w:lineRule="exact"/>
        <w:ind w:left="0" w:right="0" w:firstLine="576"/>
        <w:jc w:val="left"/>
      </w:pPr>
      <w:r>
        <w:rPr/>
        <w:t xml:space="preserve">(a) The person knowingly circumcises, excises, or infibulates the whole or any part of the labia majora, labia minora, or clitoris;</w:t>
      </w:r>
    </w:p>
    <w:p>
      <w:pPr>
        <w:spacing w:before="0" w:after="0" w:line="408" w:lineRule="exact"/>
        <w:ind w:left="0" w:right="0" w:firstLine="576"/>
        <w:jc w:val="left"/>
      </w:pPr>
      <w:r>
        <w:rPr/>
        <w:t xml:space="preserve">(b) The parent, guardian, or other person legally responsible or charged with the care or custody of a female minor allows the circumcision, excision, or infibulation, in whole or in part, of the labia majora, labia minora, or clitoris; or</w:t>
      </w:r>
    </w:p>
    <w:p>
      <w:pPr>
        <w:spacing w:before="0" w:after="0" w:line="408" w:lineRule="exact"/>
        <w:ind w:left="0" w:right="0" w:firstLine="576"/>
        <w:jc w:val="left"/>
      </w:pPr>
      <w:r>
        <w:rPr/>
        <w:t xml:space="preserve">(c) The person knowingly removes or causes or permits the removal of a female minor from this state for the purpose of circumcising, excising, or infibulating, in whole or in part, the labia majora, labia minora, or clitoris of such female. </w:t>
      </w:r>
    </w:p>
    <w:p>
      <w:pPr>
        <w:spacing w:before="0" w:after="0" w:line="408" w:lineRule="exact"/>
        <w:ind w:left="0" w:right="0" w:firstLine="576"/>
        <w:jc w:val="left"/>
      </w:pPr>
      <w:r>
        <w:rPr/>
        <w:t xml:space="preserve">(2) It shall not be a defense to prosecution for a violation of this section that the conduct described in subsection (1) of this section is required as a matter of custom, ritual, or religious practice, or that the minor on whom it is performed consented to the procedure, or the minor's parent or legal guardian consented to the procedure.</w:t>
      </w:r>
    </w:p>
    <w:p>
      <w:pPr>
        <w:spacing w:before="0" w:after="0" w:line="408" w:lineRule="exact"/>
        <w:ind w:left="0" w:right="0" w:firstLine="576"/>
        <w:jc w:val="left"/>
      </w:pPr>
      <w:r>
        <w:rPr/>
        <w:t xml:space="preserve">(3) If the action described in subsection (1) of this section is performed by a licensed physician during a surgical procedure, it shall not be a violation of this section if either of the following is true:</w:t>
      </w:r>
    </w:p>
    <w:p>
      <w:pPr>
        <w:spacing w:before="0" w:after="0" w:line="408" w:lineRule="exact"/>
        <w:ind w:left="0" w:right="0" w:firstLine="576"/>
        <w:jc w:val="left"/>
      </w:pPr>
      <w:r>
        <w:rPr/>
        <w:t xml:space="preserve">(a) The procedure is necessary to the physical health of the minor on whom it is performed; or</w:t>
      </w:r>
    </w:p>
    <w:p>
      <w:pPr>
        <w:spacing w:before="0" w:after="0" w:line="408" w:lineRule="exact"/>
        <w:ind w:left="0" w:right="0" w:firstLine="576"/>
        <w:jc w:val="left"/>
      </w:pPr>
      <w:r>
        <w:rPr/>
        <w:t xml:space="preserve">(b) The procedure is performed on a minor who is in labor or who has just given birth and is performed for medical purposes connected with that labor or birth.</w:t>
      </w:r>
    </w:p>
    <w:p>
      <w:pPr>
        <w:spacing w:before="0" w:after="0" w:line="408" w:lineRule="exact"/>
        <w:ind w:left="0" w:right="0" w:firstLine="576"/>
        <w:jc w:val="left"/>
      </w:pPr>
      <w:r>
        <w:rPr/>
        <w:t xml:space="preserve">(4) Female genital mutilation is a mandatory reportable offense for any personnel required to report child abuse under chapter 26.44 RCW.</w:t>
      </w:r>
    </w:p>
    <w:p>
      <w:pPr>
        <w:spacing w:before="0" w:after="0" w:line="408" w:lineRule="exact"/>
        <w:ind w:left="0" w:right="0" w:firstLine="576"/>
        <w:jc w:val="left"/>
      </w:pPr>
      <w:r>
        <w:rPr/>
        <w:t xml:space="preserve">(5) Female genital mutilation is a class B felony.</w:t>
      </w:r>
    </w:p>
    <w:p>
      <w:pPr>
        <w:spacing w:before="0" w:after="0" w:line="408" w:lineRule="exact"/>
        <w:ind w:left="0" w:right="0" w:firstLine="576"/>
        <w:jc w:val="left"/>
      </w:pPr>
      <w:r>
        <w:rPr/>
        <w:t xml:space="preserve">(6) If the prosecuting attorney has a reasonable belief that any person arrested or charged pursuant to this section is not a citizen or national of the United States, he or she shall report the information to the United States immigration and naturalization service in an expeditious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2012 c 259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 </w:t>
      </w:r>
      <w:r>
        <w:rPr>
          <w:u w:val="single"/>
        </w:rPr>
        <w:t xml:space="preserve">Female genital mutilation under chapter 9A.36 RCW constitutes abuse. The belief that female genital mutilation is required as a matter of custom, ritual, or standard practice or consent to the conduct by the child on whom it is performed or by the child's parent or legal guardian is not an affirmative defense to a charge of child abuse under this subsection.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state department of social and health services.</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(26)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county prosecuting attorney shall:</w:t>
      </w:r>
    </w:p>
    <w:p>
      <w:pPr>
        <w:spacing w:before="0" w:after="0" w:line="408" w:lineRule="exact"/>
        <w:ind w:left="0" w:right="0" w:firstLine="576"/>
        <w:jc w:val="left"/>
      </w:pPr>
      <w:r>
        <w:rPr/>
        <w:t xml:space="preserve">(1) Keep annual statistics of the following information:</w:t>
      </w:r>
    </w:p>
    <w:p>
      <w:pPr>
        <w:spacing w:before="0" w:after="0" w:line="408" w:lineRule="exact"/>
        <w:ind w:left="0" w:right="0" w:firstLine="576"/>
        <w:jc w:val="left"/>
      </w:pPr>
      <w:r>
        <w:rPr/>
        <w:t xml:space="preserve">(a)(i) The number of offenders that are charged with female genital mutilation under section 1 of this act, and (ii) the number of offenders that are charged and convicted under section 1(1) of this act; and</w:t>
      </w:r>
    </w:p>
    <w:p>
      <w:pPr>
        <w:spacing w:before="0" w:after="0" w:line="408" w:lineRule="exact"/>
        <w:ind w:left="0" w:right="0" w:firstLine="576"/>
        <w:jc w:val="left"/>
      </w:pPr>
      <w:r>
        <w:rPr/>
        <w:t xml:space="preserve">(b) The number of reports that the prosecuting attorney's office receives that are required under section 1(4) of this act, the number of offenders that are charged pursuant to the report, and the number of offenders that are convicted pursuant to the report.</w:t>
      </w:r>
    </w:p>
    <w:p>
      <w:pPr>
        <w:spacing w:before="0" w:after="0" w:line="408" w:lineRule="exact"/>
        <w:ind w:left="0" w:right="0" w:firstLine="576"/>
        <w:jc w:val="left"/>
      </w:pPr>
      <w:r>
        <w:rPr/>
        <w:t xml:space="preserve">(2) Submit its annual report to the administrative office of the courts. The administrative office of the courts shall submit a consolidated report to the appropriate committees of the legislature by December 1st of each year.</w:t>
      </w:r>
    </w:p>
    <w:p/>
    <w:p>
      <w:pPr>
        <w:jc w:val="center"/>
      </w:pPr>
      <w:r>
        <w:rPr>
          <w:b/>
        </w:rPr>
        <w:t>--- END ---</w:t>
      </w:r>
    </w:p>
    <w:sectPr>
      <w:pgNumType w:start="1"/>
      <w:footerReference xmlns:r="http://schemas.openxmlformats.org/officeDocument/2006/relationships" r:id="Rb56866672a6240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38542407424250" /><Relationship Type="http://schemas.openxmlformats.org/officeDocument/2006/relationships/footer" Target="/word/footer.xml" Id="Rb56866672a6240b9" /></Relationships>
</file>