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61ac4bd444e41" /></Relationships>
</file>

<file path=word/document.xml><?xml version="1.0" encoding="utf-8"?>
<w:document xmlns:w="http://schemas.openxmlformats.org/wordprocessingml/2006/main">
  <w:body>
    <w:p>
      <w:r>
        <w:t>H-1949.1</w:t>
      </w:r>
    </w:p>
    <w:p>
      <w:pPr>
        <w:jc w:val="center"/>
      </w:pPr>
      <w:r>
        <w:t>_______________________________________________</w:t>
      </w:r>
    </w:p>
    <w:p/>
    <w:p>
      <w:pPr>
        <w:jc w:val="center"/>
      </w:pPr>
      <w:r>
        <w:rPr>
          <w:b/>
        </w:rPr>
        <w:t>SUBSTITUTE HOUSE BILL 1420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Wilcox, Springer, Magendanz, G. Hunt, Muri, Kirby, Takko, Kilduff, and Hargrove)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siting and aiding school districts in reducing overall school construction costs;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school siting is established, with members as provided in this subsection. All member appointments or selections must be made by July 1, 2015.</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member who represents environmental concerns related to school siting and one member who represents the building industry.</w:t>
      </w:r>
    </w:p>
    <w:p>
      <w:pPr>
        <w:spacing w:before="0" w:after="0" w:line="408" w:lineRule="exact"/>
        <w:ind w:left="0" w:right="0" w:firstLine="576"/>
        <w:jc w:val="left"/>
      </w:pPr>
      <w:r>
        <w:rPr/>
        <w:t xml:space="preserve">(d) The task force must also include:</w:t>
      </w:r>
    </w:p>
    <w:p>
      <w:pPr>
        <w:spacing w:before="0" w:after="0" w:line="408" w:lineRule="exact"/>
        <w:ind w:left="0" w:right="0" w:firstLine="576"/>
        <w:jc w:val="left"/>
      </w:pPr>
      <w:r>
        <w:rPr/>
        <w:t xml:space="preserve">(i) A representative of the association of Washington cities;</w:t>
      </w:r>
    </w:p>
    <w:p>
      <w:pPr>
        <w:spacing w:before="0" w:after="0" w:line="408" w:lineRule="exact"/>
        <w:ind w:left="0" w:right="0" w:firstLine="576"/>
        <w:jc w:val="left"/>
      </w:pPr>
      <w:r>
        <w:rPr/>
        <w:t xml:space="preserve">(ii) A representative of the Washington state association of counties;</w:t>
      </w:r>
    </w:p>
    <w:p>
      <w:pPr>
        <w:spacing w:before="0" w:after="0" w:line="408" w:lineRule="exact"/>
        <w:ind w:left="0" w:right="0" w:firstLine="576"/>
        <w:jc w:val="left"/>
      </w:pPr>
      <w:r>
        <w:rPr/>
        <w:t xml:space="preserve">(iii) A representative of schools located in urban areas selected by the Washington association of school administrators;</w:t>
      </w:r>
    </w:p>
    <w:p>
      <w:pPr>
        <w:spacing w:before="0" w:after="0" w:line="408" w:lineRule="exact"/>
        <w:ind w:left="0" w:right="0" w:firstLine="576"/>
        <w:jc w:val="left"/>
      </w:pPr>
      <w:r>
        <w:rPr/>
        <w:t xml:space="preserve">(iv) A representative of schools located in rural areas selected by the Washington association of school administrators; and</w:t>
      </w:r>
    </w:p>
    <w:p>
      <w:pPr>
        <w:spacing w:before="0" w:after="0" w:line="408" w:lineRule="exact"/>
        <w:ind w:left="0" w:right="0" w:firstLine="576"/>
        <w:jc w:val="left"/>
      </w:pPr>
      <w:r>
        <w:rPr/>
        <w:t xml:space="preserve">(v) A representative of the Washington state association of county and regional planning directors.</w:t>
      </w:r>
    </w:p>
    <w:p>
      <w:pPr>
        <w:spacing w:before="0" w:after="0" w:line="408" w:lineRule="exact"/>
        <w:ind w:left="0" w:right="0" w:firstLine="576"/>
        <w:jc w:val="left"/>
      </w:pPr>
      <w:r>
        <w:rPr/>
        <w:t xml:space="preserve">(2) The task force shall choose its chair from among its legislative membership. The chair shall convene at least three meetings of the task force.</w:t>
      </w:r>
    </w:p>
    <w:p>
      <w:pPr>
        <w:spacing w:before="0" w:after="0" w:line="408" w:lineRule="exact"/>
        <w:ind w:left="0" w:right="0" w:firstLine="576"/>
        <w:jc w:val="left"/>
      </w:pPr>
      <w:r>
        <w:rPr/>
        <w:t xml:space="preserve">(3) The task force shall review the issue of siting schools outside of urban growth areas. In reviewing this issue, the task force must balance the planning goals and requirements set forth in chapter 36.70A RCW with the needs of school districts, particularly those facing capacity issues, in providing appropriate and adequate school facilities.</w:t>
      </w:r>
    </w:p>
    <w:p>
      <w:pPr>
        <w:spacing w:before="0" w:after="0" w:line="408" w:lineRule="exact"/>
        <w:ind w:left="0" w:right="0" w:firstLine="576"/>
        <w:jc w:val="left"/>
      </w:pPr>
      <w:r>
        <w:rPr/>
        <w:t xml:space="preserve">(4)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(5)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provide a summary of the task force's discussions and any recommendations to the appropriate committees of the legislature by December 1, 2015.</w:t>
      </w:r>
    </w:p>
    <w:p>
      <w:pPr>
        <w:spacing w:before="0" w:after="0" w:line="408" w:lineRule="exact"/>
        <w:ind w:left="0" w:right="0" w:firstLine="576"/>
        <w:jc w:val="left"/>
      </w:pPr>
      <w:r>
        <w:rPr/>
        <w:t xml:space="preserve">(8) This section expires January 1, 2016.</w:t>
      </w:r>
    </w:p>
    <w:p/>
    <w:p>
      <w:pPr>
        <w:jc w:val="center"/>
      </w:pPr>
      <w:r>
        <w:rPr>
          <w:b/>
        </w:rPr>
        <w:t>--- END ---</w:t>
      </w:r>
    </w:p>
    <w:sectPr>
      <w:pgNumType w:start="1"/>
      <w:footerReference xmlns:r="http://schemas.openxmlformats.org/officeDocument/2006/relationships" r:id="R3aa98f93efc949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d58cf4a1594c40" /><Relationship Type="http://schemas.openxmlformats.org/officeDocument/2006/relationships/footer" Target="/word/footer.xml" Id="R3aa98f93efc949ae" /></Relationships>
</file>