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21fd7a9ac44d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Takko, Kochmar, and Pike)</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referendum of assumptions of water-sewer districts by cities and towns; and adding new sections to chapter 35.13A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(1) Except as provided otherwise by subsection (4) of this section, a resolution or ordinance adopted by the legislative body of a city to assume jurisdiction of all or part of a water-sewer district under this chapter is subject to a referendum. Any referendum petition to repeal the assumption resolution or ordinance must be filed with the county auditor within ten days of passage of the resolution or ordinance. Within ten days of the filing of a petition, the county auditor must confer with the petitioner concerning the form and style of the petition, issue an identification number for the petition, and write a ballot title for the measure. The ballot title must be posed as a question so that an affirmative answer to the question and a majority affirmative vote on the measure results in approval of the proposed assumption, and a negative answer to the question and a majority negative vote on the measure results in the assumption being barred. The petitioner must be notified of the identification number and ballot title within this ten-day period. After this notification, the petitioner has forty-five days in which to secure on petition forms the signatures of at least ten percent of the number of voters residing in the part of the water-sewer district subject to the assumption resolution or ordinance who voted in the most recent general election, and file the signed petitions with the county auditor. Each petition form must contain the ballot title and full text of the measure to be referred. The county auditor must verify the sufficiency of the signatures on the petitions.</w:t>
      </w:r>
    </w:p>
    <w:p>
      <w:pPr>
        <w:spacing w:before="0" w:after="0" w:line="408" w:lineRule="exact"/>
        <w:ind w:left="0" w:right="0" w:firstLine="576"/>
        <w:jc w:val="left"/>
      </w:pPr>
      <w:r>
        <w:rPr/>
        <w:t xml:space="preserve">(2) If sufficient valid signatures on the petitions are properly submitted, the county auditor must submit the referendum measure to the registered voters residing in the part of the water-sewer district subject to the assumption resolution or ordinance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the water-sewer district.</w:t>
      </w:r>
    </w:p>
    <w:p>
      <w:pPr>
        <w:spacing w:before="0" w:after="0" w:line="408" w:lineRule="exact"/>
        <w:ind w:left="0" w:right="0" w:firstLine="576"/>
        <w:jc w:val="left"/>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spacing w:before="0" w:after="0" w:line="408" w:lineRule="exact"/>
        <w:ind w:left="0" w:right="0" w:firstLine="576"/>
        <w:jc w:val="left"/>
      </w:pPr>
      <w:r>
        <w:rPr/>
        <w:t xml:space="preserve">(4) If a city legislative authority assumes jurisdiction of all or part of a water-sewer district through a contract with a water-sewer district, or through an interlocal agreement with a water-sewer district under chapter 36.93 RCW, the provisions of this section do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spacing w:before="0" w:after="0" w:line="408" w:lineRule="exact"/>
        <w:ind w:left="0" w:right="0" w:firstLine="576"/>
        <w:jc w:val="left"/>
      </w:pPr>
      <w:r>
        <w:rPr/>
        <w:t xml:space="preserve">A resolution or ordinance adopted by a city in accordance with this chapter to assume jurisdiction of all or part of a district may not take effect until thirty or more days after its adoption.</w:t>
      </w:r>
    </w:p>
    <w:p/>
    <w:p>
      <w:pPr>
        <w:jc w:val="center"/>
      </w:pPr>
      <w:r>
        <w:rPr>
          <w:b/>
        </w:rPr>
        <w:t>--- END ---</w:t>
      </w:r>
    </w:p>
    <w:sectPr>
      <w:pgNumType w:start="1"/>
      <w:footerReference xmlns:r="http://schemas.openxmlformats.org/officeDocument/2006/relationships" r:id="Raf2c300906a04d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30410214e24860" /><Relationship Type="http://schemas.openxmlformats.org/officeDocument/2006/relationships/footer" Target="/word/footer.xml" Id="Raf2c300906a04dec" /></Relationships>
</file>