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ae71198aa47b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Reykdal, Stokesbary, Van De Wege, and Springer)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52.26.220, 52.26.230, 84.52.010, 84.52.010, 84.52.043, 84.52.043, 84.52.125, 84.52.125, and 84.55.092; reenacting and amending RCW 52.26.020; adding a new section to chapter 52.26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shall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and (k) the protected portion of the levies imposed under RCW 86.15.160 by flood control zone districts in a county with a population of seven hundred seventy-five thousand or more that are coextensive with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shall be as follows:</w:t>
      </w:r>
    </w:p>
    <w:p>
      <w:pPr>
        <w:spacing w:before="0" w:after="0" w:line="408" w:lineRule="exact"/>
        <w:ind w:left="0" w:right="0" w:firstLine="576"/>
        <w:jc w:val="left"/>
      </w:pPr>
      <w:r>
        <w:rPr/>
        <w:t xml:space="preserve">(1) Levies of the senior taxing districts shall be as follows: (a) The 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and (j) levies by counties for transit-related purposes under RCW 84.52.140.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84.52.010(2)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84.52.010(2)(e).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governing body of each regional fire protection service authority must prepare an annual fiscal accountability report. The annual report, summarizing activity from the preceding calendar year, must provide the following information for the authority:</w:t>
      </w:r>
    </w:p>
    <w:p>
      <w:pPr>
        <w:spacing w:before="0" w:after="0" w:line="408" w:lineRule="exact"/>
        <w:ind w:left="0" w:right="0" w:firstLine="576"/>
        <w:jc w:val="left"/>
      </w:pPr>
      <w:r>
        <w:rPr/>
        <w:t xml:space="preserve">(a) Total annual revenue, by source;</w:t>
      </w:r>
    </w:p>
    <w:p>
      <w:pPr>
        <w:spacing w:before="0" w:after="0" w:line="408" w:lineRule="exact"/>
        <w:ind w:left="0" w:right="0" w:firstLine="576"/>
        <w:jc w:val="left"/>
      </w:pPr>
      <w:r>
        <w:rPr/>
        <w:t xml:space="preserve">(b) Total annual expenditures, by category;</w:t>
      </w:r>
    </w:p>
    <w:p>
      <w:pPr>
        <w:spacing w:before="0" w:after="0" w:line="408" w:lineRule="exact"/>
        <w:ind w:left="0" w:right="0" w:firstLine="576"/>
        <w:jc w:val="left"/>
      </w:pPr>
      <w:r>
        <w:rPr/>
        <w:t xml:space="preserve">(c) Total population, square miles, and assessed property value within the authority's boundaries;</w:t>
      </w:r>
    </w:p>
    <w:p>
      <w:pPr>
        <w:spacing w:before="0" w:after="0" w:line="408" w:lineRule="exact"/>
        <w:ind w:left="0" w:right="0" w:firstLine="576"/>
        <w:jc w:val="left"/>
      </w:pPr>
      <w:r>
        <w:rPr/>
        <w:t xml:space="preserve">(d) The achievement of the following response time objectives for each county, city, and town within the authority:</w:t>
      </w:r>
    </w:p>
    <w:p>
      <w:pPr>
        <w:spacing w:before="0" w:after="0" w:line="408" w:lineRule="exact"/>
        <w:ind w:left="0" w:right="0" w:firstLine="576"/>
        <w:jc w:val="left"/>
      </w:pPr>
      <w:r>
        <w:rPr/>
        <w:t xml:space="preserve">(i) Response time for the arrival of a unit with first responder or higher level capability at an emergency medical incident; and</w:t>
      </w:r>
    </w:p>
    <w:p>
      <w:pPr>
        <w:spacing w:before="0" w:after="0" w:line="408" w:lineRule="exact"/>
        <w:ind w:left="0" w:right="0" w:firstLine="576"/>
        <w:jc w:val="left"/>
      </w:pPr>
      <w:r>
        <w:rPr/>
        <w:t xml:space="preserve">(ii) Response time for the arrival of an advanced life support unit at an emergency medical incident where this service is provided by the authority.</w:t>
      </w:r>
    </w:p>
    <w:p>
      <w:pPr>
        <w:spacing w:before="0" w:after="0" w:line="408" w:lineRule="exact"/>
        <w:ind w:left="0" w:right="0" w:firstLine="576"/>
        <w:jc w:val="left"/>
      </w:pPr>
      <w:r>
        <w:rPr/>
        <w:t xml:space="preserve">(2) The report required by this section must be:</w:t>
      </w:r>
    </w:p>
    <w:p>
      <w:pPr>
        <w:spacing w:before="0" w:after="0" w:line="408" w:lineRule="exact"/>
        <w:ind w:left="0" w:right="0" w:firstLine="576"/>
        <w:jc w:val="left"/>
      </w:pPr>
      <w:r>
        <w:rPr/>
        <w:t xml:space="preserve">(a) Presented publicly and formally accepted at a regularly scheduled public meeting of the governing board occurring before each July 1st;</w:t>
      </w:r>
    </w:p>
    <w:p>
      <w:pPr>
        <w:spacing w:before="0" w:after="0" w:line="408" w:lineRule="exact"/>
        <w:ind w:left="0" w:right="0" w:firstLine="576"/>
        <w:jc w:val="left"/>
      </w:pPr>
      <w:r>
        <w:rPr/>
        <w:t xml:space="preserve">(b) Posted electronically on the authority's web site; and</w:t>
      </w:r>
    </w:p>
    <w:p>
      <w:pPr>
        <w:spacing w:before="0" w:after="0" w:line="408" w:lineRule="exact"/>
        <w:ind w:left="0" w:right="0" w:firstLine="576"/>
        <w:jc w:val="left"/>
      </w:pPr>
      <w:r>
        <w:rPr/>
        <w:t xml:space="preserve">(c) Submitted to the governing body of each county, city, and town within the boundaries of the regional fire protection service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11 of this act apply to property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2018.</w:t>
      </w:r>
    </w:p>
    <w:p/>
    <w:p>
      <w:pPr>
        <w:jc w:val="center"/>
      </w:pPr>
      <w:r>
        <w:rPr>
          <w:b/>
        </w:rPr>
        <w:t>--- END ---</w:t>
      </w:r>
    </w:p>
    <w:sectPr>
      <w:pgNumType w:start="1"/>
      <w:footerReference xmlns:r="http://schemas.openxmlformats.org/officeDocument/2006/relationships" r:id="R393db442857d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7b7ce81e1477b" /><Relationship Type="http://schemas.openxmlformats.org/officeDocument/2006/relationships/footer" Target="/word/footer.xml" Id="R393db442857d4e51" /></Relationships>
</file>