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dd15beffaf4356" /></Relationships>
</file>

<file path=word/document.xml><?xml version="1.0" encoding="utf-8"?>
<w:document xmlns:w="http://schemas.openxmlformats.org/wordprocessingml/2006/main">
  <w:body>
    <w:p>
      <w:r>
        <w:t>H-0430.1</w:t>
      </w:r>
    </w:p>
    <w:p>
      <w:pPr>
        <w:jc w:val="center"/>
      </w:pPr>
      <w:r>
        <w:t>_______________________________________________</w:t>
      </w:r>
    </w:p>
    <w:p/>
    <w:p>
      <w:pPr>
        <w:jc w:val="center"/>
      </w:pPr>
      <w:r>
        <w:rPr>
          <w:b/>
        </w:rPr>
        <w:t>HOUSE BILL 1352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Nealey, Wylie, Short, Blake, Van De Wege, Magendanz, and Condotta</w:t>
      </w:r>
    </w:p>
    <w:p/>
    <w:p>
      <w:r>
        <w:rPr>
          <w:t xml:space="preserve">Read first time 01/19/15.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efficiency improvements to hydroelectric generation projects whose energy output is marketed by the Bonneville power administration to qualify as an eligible renewable resource under the energy independence act;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w:t>
      </w:r>
    </w:p>
    <w:p>
      <w:pPr>
        <w:spacing w:before="0" w:after="0" w:line="408" w:lineRule="exact"/>
        <w:ind w:left="0" w:right="0" w:firstLine="576"/>
        <w:jc w:val="left"/>
      </w:pPr>
      <w:r>
        <w:rPr>
          <w:u w:val="single"/>
        </w:rPr>
        <w:t xml:space="preserve">(f)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(g) The environmental attributes, including renewable energy credits, from (f)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19.285.040(2)(m),</w:t>
      </w:r>
      <w:r>
        <w:rPr/>
        <w:t xml:space="preserve"> of at least one megawatt-hour of an eligible renewable resource where</w:t>
      </w:r>
      <w:r>
        <w:rPr>
          <w:u w:val="single"/>
        </w:rPr>
        <w:t xml:space="preserve">, except as provided in subsection (12)(g)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w:t>
      </w:r>
      <w:r>
        <w:rPr>
          <w:u w:val="single"/>
        </w:rPr>
        <w:t xml:space="preserve">and (l)</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2016, a qualifying utility may use eligible renewable resources as identified under RCW 19.285.030(12) (f) and (g)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19.285.030(12)(g)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9e5347818c9641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c31e1c453c4ccb" /><Relationship Type="http://schemas.openxmlformats.org/officeDocument/2006/relationships/footer" Target="/word/footer.xml" Id="R9e5347818c964137" /></Relationships>
</file>