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ab69c3d0341e9" /></Relationships>
</file>

<file path=word/document.xml><?xml version="1.0" encoding="utf-8"?>
<w:document xmlns:w="http://schemas.openxmlformats.org/wordprocessingml/2006/main">
  <w:body>
    <w:p>
      <w:r>
        <w:t>H-1969.1</w:t>
      </w:r>
    </w:p>
    <w:p>
      <w:pPr>
        <w:jc w:val="center"/>
      </w:pPr>
      <w:r>
        <w:t>_______________________________________________</w:t>
      </w:r>
    </w:p>
    <w:p/>
    <w:p>
      <w:pPr>
        <w:jc w:val="center"/>
      </w:pPr>
      <w:r>
        <w:rPr>
          <w:b/>
        </w:rPr>
        <w:t>SUBSTITUTE HOUSE BILL 1349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 S. Hunt)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requesting public records for the purpose of obtaining exempted information relating to employment and licensing;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electronic 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electronic mail addresses, social security numbers, and emergency contact information of dependents of employees or volunteers of a public agency. For purposes of this subsection, "employees" includes independent provider home care workers as defined in RCW 74.39A.240</w:t>
      </w:r>
      <w:r>
        <w:rPr>
          <w:u w:val="single"/>
        </w:rPr>
        <w:t xml:space="preserve">. No party obtaining the identity of employees or volunteers from a public records request to any agency may use that information for the purpose of obtaining information that is exempted under this section, and in any suit brought regarding such a use, an aggrieved party may also recover five hundred dollars for each item of exempt information obtained thereby, plus costs and reasonable attorneys' fees. Before obtaining the identity of employees or volunteers from any agency, the requester shall swear under oath never to use the identity of employees or volunteers for the purpose of obtaining information that is exempted under this provision, or for commercial purposes</w:t>
      </w:r>
      <w:r>
        <w:rPr/>
        <w:t xml:space="preserve">;</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
      <w:pPr>
        <w:jc w:val="center"/>
      </w:pPr>
      <w:r>
        <w:rPr>
          <w:b/>
        </w:rPr>
        <w:t>--- END ---</w:t>
      </w:r>
    </w:p>
    <w:sectPr>
      <w:pgNumType w:start="1"/>
      <w:footerReference xmlns:r="http://schemas.openxmlformats.org/officeDocument/2006/relationships" r:id="R2c10ce18c00c41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74c6cda6ce4924" /><Relationship Type="http://schemas.openxmlformats.org/officeDocument/2006/relationships/footer" Target="/word/footer.xml" Id="R2c10ce18c00c4172" /></Relationships>
</file>