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0fbdaba7f45e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requesting public records for the purpose of obtaining exempted information relating to employment and licensing; and amending RCW 42.56.070 and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t xml:space="preserve"> </w:t>
      </w:r>
      <w:r>
        <w:rPr>
          <w:u w:val="single"/>
        </w:rPr>
        <w:t xml:space="preserve">(9)</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shall establish, maintain, and make available for public inspection and copying a statement of the actual per page cost or other costs, if any, that it charges for providing photocopies of public records and a statement of the factors and manner used to determine the actual per page cost or other costs, if any.</w:t>
      </w:r>
    </w:p>
    <w:p>
      <w:pPr>
        <w:spacing w:before="0" w:after="0" w:line="408" w:lineRule="exact"/>
        <w:ind w:left="0" w:right="0" w:firstLine="576"/>
        <w:jc w:val="left"/>
      </w:pPr>
      <w:r>
        <w:rPr/>
        <w:t xml:space="preserve">(a) In determining the actual per page cost for providing photocopies of public records, an agency may include all costs directly incident to copying such public records including the actual cost of the paper and the per page cost for use of agency copying equipment. In determining other actual costs for providing photocopies of public records, an agency may include all costs directly incident to shipping such public records, including the cost of postage or delivery charges and the cost of any container or envelope used.</w:t>
      </w:r>
    </w:p>
    <w:p>
      <w:pPr>
        <w:spacing w:before="0" w:after="0" w:line="408" w:lineRule="exact"/>
        <w:ind w:left="0" w:right="0" w:firstLine="576"/>
        <w:jc w:val="left"/>
      </w:pPr>
      <w:r>
        <w:rPr/>
        <w:t xml:space="preserve">(b) In determining the actual per page cost or other costs for providing copies of public records, an agency may not include staff salaries, benefits, or other general administrative or overhead charges, unless those costs are directly related to the actual cost of copying the public records. Staff time to copy and mail the requested public records may be included in an agency's costs.</w:t>
      </w:r>
    </w:p>
    <w:p>
      <w:pPr>
        <w:spacing w:before="0" w:after="0" w:line="408" w:lineRule="exact"/>
        <w:ind w:left="0" w:right="0" w:firstLine="576"/>
        <w:jc w:val="left"/>
      </w:pPr>
      <w:r>
        <w:rPr/>
        <w:t xml:space="preserve">(8) 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t xml:space="preserve">(9)</w:t>
      </w:r>
      <w:r>
        <w:rPr>
          <w:u w:val="single"/>
        </w:rPr>
        <w:t xml:space="preserve">(a)</w:t>
      </w:r>
      <w:r>
        <w:rPr/>
        <w:t xml:space="preserve"> This chapter shall not be construed as giving authority to any agency, the office of the secretary of the senate, or the office of the chief clerk of the house of representatives to give, sell or provide access to lists of individuals requested for commercial purposes, and agencies, the office of the secretary of the senate, and the office of the chief clerk of the house of representatives shall not do so unless specifically authorized or directed by law</w:t>
      </w:r>
      <w:r>
        <w:t>((</w:t>
      </w:r>
      <w:r>
        <w:rPr>
          <w:strike/>
        </w:rPr>
        <w:t xml:space="preserve">: PROVIDED, HOWEVER, That</w:t>
      </w:r>
      <w:r>
        <w:t>))</w:t>
      </w:r>
      <w:r>
        <w:rPr>
          <w:u w:val="single"/>
        </w:rPr>
        <w:t xml:space="preserve">. However, the</w:t>
      </w:r>
      <w:r>
        <w:rPr/>
        <w:t xml:space="preserve"> lists of applicants for professional licenses and of professional licensees shall be made available to those professional associations or educational organizations recognized by their professional licensing or examination board, upon payment of a reasonable charge therefor</w:t>
      </w:r>
      <w:r>
        <w:t>((</w:t>
      </w:r>
      <w:r>
        <w:rPr>
          <w:strike/>
        </w:rPr>
        <w:t xml:space="preserve">: PROVIDED FURTHER, That</w:t>
      </w:r>
      <w:r>
        <w:t>))</w:t>
      </w:r>
      <w:r>
        <w:rPr>
          <w:u w:val="single"/>
        </w:rPr>
        <w:t xml:space="preserve">, and</w:t>
      </w:r>
      <w:r>
        <w:rPr/>
        <w:t xml:space="preserve">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u w:val="single"/>
        </w:rPr>
        <w:t xml:space="preserve">(b) Before obtaining records containing the names or nonexempt contact information of employees or volunteers from any agency, the requester must swear under oath that he or she will not use such information to obtain information exempted under RCW 42.56.250 for a commercial purpose or to harass, stalk, threaten, or intimidate any person.</w:t>
      </w:r>
    </w:p>
    <w:p>
      <w:pPr>
        <w:spacing w:before="0" w:after="0" w:line="408" w:lineRule="exact"/>
        <w:ind w:left="0" w:right="0" w:firstLine="576"/>
        <w:jc w:val="left"/>
      </w:pPr>
      <w:r>
        <w:rPr>
          <w:u w:val="single"/>
        </w:rPr>
        <w:t xml:space="preserve">(c) A person is subject to civil liability if he or she:</w:t>
      </w:r>
    </w:p>
    <w:p>
      <w:pPr>
        <w:spacing w:before="0" w:after="0" w:line="408" w:lineRule="exact"/>
        <w:ind w:left="0" w:right="0" w:firstLine="576"/>
        <w:jc w:val="left"/>
      </w:pPr>
      <w:r>
        <w:rPr>
          <w:u w:val="single"/>
        </w:rPr>
        <w:t xml:space="preserve">(i) Requests, pursuant to this chapter, the names or nonexempt contact information of agency employees or volunteers in order to obtain information exempted under RCW 42.56.250 for a commercial purpose or to harass, stalk, threaten, or intimidate any person; or</w:t>
      </w:r>
    </w:p>
    <w:p>
      <w:pPr>
        <w:spacing w:before="0" w:after="0" w:line="408" w:lineRule="exact"/>
        <w:ind w:left="0" w:right="0" w:firstLine="576"/>
        <w:jc w:val="left"/>
      </w:pPr>
      <w:r>
        <w:rPr>
          <w:u w:val="single"/>
        </w:rPr>
        <w:t xml:space="preserve">(ii) Uses the names or nonexempt contact information of agency employees or volunteers, with knowledge that such information was obtained through a request made pursuant to this chapter, in order to obtain information exempted under RCW 42.56.250 for a commercial purpose or to harass, stalk, threaten, or intimidate any person. </w:t>
      </w:r>
    </w:p>
    <w:p>
      <w:pPr>
        <w:spacing w:before="0" w:after="0" w:line="408" w:lineRule="exact"/>
        <w:ind w:left="0" w:right="0" w:firstLine="576"/>
        <w:jc w:val="left"/>
      </w:pPr>
      <w:r>
        <w:rPr>
          <w:u w:val="single"/>
        </w:rPr>
        <w:t xml:space="preserve">(d) A person who is liable under (c) of this subsection may be sued in superior court by any aggrieved party, or in the name of the state by the attorney general or the prosecuting authorities of political subdivisions of this state. A plaintiff may recover five hundred dollars for each item of information used in violation of (c) of this subsection, plus costs and reasonable attorneys' fees. The court may order any other appropriate civil remedy.</w:t>
      </w:r>
    </w:p>
    <w:p>
      <w:pPr>
        <w:spacing w:before="0" w:after="0" w:line="408" w:lineRule="exact"/>
        <w:ind w:left="0" w:right="0" w:firstLine="576"/>
        <w:jc w:val="left"/>
      </w:pPr>
      <w:r>
        <w:rPr>
          <w:u w:val="single"/>
        </w:rPr>
        <w:t xml:space="preserve">(e) For purposes of using the names or nonexempt contact information of agency employees or volunteers in order to obtain information exempted under RCW 42.56.250, a commercial purpose includes:</w:t>
      </w:r>
    </w:p>
    <w:p>
      <w:pPr>
        <w:spacing w:before="0" w:after="0" w:line="408" w:lineRule="exact"/>
        <w:ind w:left="0" w:right="0" w:firstLine="576"/>
        <w:jc w:val="left"/>
      </w:pPr>
      <w:r>
        <w:rPr>
          <w:u w:val="single"/>
        </w:rPr>
        <w:t xml:space="preserve">(i) Soliciting, marketing, advertising, or self-promoting;</w:t>
      </w:r>
    </w:p>
    <w:p>
      <w:pPr>
        <w:spacing w:before="0" w:after="0" w:line="408" w:lineRule="exact"/>
        <w:ind w:left="0" w:right="0" w:firstLine="576"/>
        <w:jc w:val="left"/>
      </w:pPr>
      <w:r>
        <w:rPr>
          <w:u w:val="single"/>
        </w:rPr>
        <w:t xml:space="preserve">(ii) Inducing any person to economically support any entity; or</w:t>
      </w:r>
    </w:p>
    <w:p>
      <w:pPr>
        <w:spacing w:before="0" w:after="0" w:line="408" w:lineRule="exact"/>
        <w:ind w:left="0" w:right="0" w:firstLine="576"/>
        <w:jc w:val="left"/>
      </w:pPr>
      <w:r>
        <w:rPr>
          <w:u w:val="single"/>
        </w:rPr>
        <w:t xml:space="preserve">(iii) Inducing any person to cease or refrain from economically supporting any entity.</w:t>
      </w:r>
    </w:p>
    <w:p>
      <w:pPr>
        <w:spacing w:before="0" w:after="0" w:line="408" w:lineRule="exact"/>
        <w:ind w:left="0" w:right="0" w:firstLine="576"/>
        <w:jc w:val="left"/>
      </w:pPr>
      <w:r>
        <w:rPr>
          <w:u w:val="single"/>
        </w:rPr>
        <w:t xml:space="preserve">(f) It is not a commercial purpose to obtain names or contact information for purposes of soliciting support for or opposition to any political party, candidate, or ballot measure, as defined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r>
        <w:rPr>
          <w:u w:val="single"/>
        </w:rPr>
        <w:t xml:space="preserve">, and in-home child care providers exempt from licensing requirements, as provided in chapter 43.215 RCW</w:t>
      </w:r>
      <w:r>
        <w:rPr/>
        <w:t xml:space="preserve">;</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6b24a93657f546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bebd5884d94c75" /><Relationship Type="http://schemas.openxmlformats.org/officeDocument/2006/relationships/footer" Target="/word/footer.xml" Id="R6b24a93657f546e6" /></Relationships>
</file>