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9c7b512a3241a8" /></Relationships>
</file>

<file path=word/document.xml><?xml version="1.0" encoding="utf-8"?>
<w:document xmlns:w="http://schemas.openxmlformats.org/wordprocessingml/2006/main">
  <w:body>
    <w:p>
      <w:r>
        <w:t>H-1347.1</w:t>
      </w:r>
    </w:p>
    <w:p>
      <w:pPr>
        <w:jc w:val="center"/>
      </w:pPr>
      <w:r>
        <w:t>_______________________________________________</w:t>
      </w:r>
    </w:p>
    <w:p/>
    <w:p>
      <w:pPr>
        <w:jc w:val="center"/>
      </w:pPr>
      <w:r>
        <w:rPr>
          <w:b/>
        </w:rPr>
        <w:t>SUBSTITUTE HOUSE BILL 1320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Goodman and Moscoso; by request of Department of Corrections)</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identicard program for certain incarcerated offenders; amending RCW 46.20.117 and 46.20.117; adding a new section to chapter 72.09 RCW;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identicard program to provide incarcerated offenders with a state-issued identicard to assist and prepare each offender for release from prison and reentry into the community. The legislature finds that each step that assists individuals being released from prison helps incarcerated offenders avoid predictable conditions that lead to future recidivism and that a reduction in recidivism makes the community safer, transforms formerly incarcerated offenders into productive citizens, and strengthens the family structure that surrounds each offender. The goal of the identicard program is to provide proper state identification to offenders upon release to the community, which is critical for accessing services, employment, housing, and various other opportunities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in conjunction with the department of licensing, must provide offenders with a state-issued identicard pursuant to RCW 46.20.117 at no cost to the offender.</w:t>
      </w:r>
    </w:p>
    <w:p>
      <w:pPr>
        <w:spacing w:before="0" w:after="0" w:line="408" w:lineRule="exact"/>
        <w:ind w:left="0" w:right="0" w:firstLine="576"/>
        <w:jc w:val="left"/>
      </w:pPr>
      <w:r>
        <w:rPr/>
        <w:t xml:space="preserve">(2) An offender is eligible for an original, renewal, or replacement identicard under this section if he or she:</w:t>
      </w:r>
    </w:p>
    <w:p>
      <w:pPr>
        <w:spacing w:before="0" w:after="0" w:line="408" w:lineRule="exact"/>
        <w:ind w:left="0" w:right="0" w:firstLine="576"/>
        <w:jc w:val="left"/>
      </w:pPr>
      <w:r>
        <w:rPr/>
        <w:t xml:space="preserve">(a) Has been sentenced to a term of confinement totaling more than one year and committed to department custody;</w:t>
      </w:r>
    </w:p>
    <w:p>
      <w:pPr>
        <w:spacing w:before="0" w:after="0" w:line="408" w:lineRule="exact"/>
        <w:ind w:left="0" w:right="0" w:firstLine="576"/>
        <w:jc w:val="left"/>
      </w:pPr>
      <w:r>
        <w:rPr/>
        <w:t xml:space="preserve">(b) Is confined within a state correctional facility and has at least sixty days remaining on his or her confinement term as of the effective date of this section;</w:t>
      </w:r>
    </w:p>
    <w:p>
      <w:pPr>
        <w:spacing w:before="0" w:after="0" w:line="408" w:lineRule="exact"/>
        <w:ind w:left="0" w:right="0" w:firstLine="576"/>
        <w:jc w:val="left"/>
      </w:pPr>
      <w:r>
        <w:rPr/>
        <w:t xml:space="preserve">(c) Has not waived his or her right under this section to an identicard; and</w:t>
      </w:r>
    </w:p>
    <w:p>
      <w:pPr>
        <w:spacing w:before="0" w:after="0" w:line="408" w:lineRule="exact"/>
        <w:ind w:left="0" w:right="0" w:firstLine="576"/>
        <w:jc w:val="left"/>
      </w:pPr>
      <w:r>
        <w:rPr/>
        <w:t xml:space="preserve">(d) Does not have a current and valid state-issued identification card.</w:t>
      </w:r>
    </w:p>
    <w:p>
      <w:pPr>
        <w:spacing w:before="0" w:after="0" w:line="408" w:lineRule="exact"/>
        <w:ind w:left="0" w:right="0" w:firstLine="576"/>
        <w:jc w:val="left"/>
      </w:pPr>
      <w:r>
        <w:rPr/>
        <w:t xml:space="preserve">(3) An offender's valid identification card issued by the department may serve as sufficient proof of identity and residency under RCW 46.20.035 to obtain a state-issued identicard pursuant to RCW 46.20.117.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 The department may charge the department of corrections a fee of nine dollars for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 The department may charge the department of corrections a fee of nine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cd54d3770f1d48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1d3f593ec44dca" /><Relationship Type="http://schemas.openxmlformats.org/officeDocument/2006/relationships/footer" Target="/word/footer.xml" Id="Rcd54d3770f1d488b" /></Relationships>
</file>