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607b29644748cc" /></Relationships>
</file>

<file path=word/document.xml><?xml version="1.0" encoding="utf-8"?>
<w:document xmlns:w="http://schemas.openxmlformats.org/wordprocessingml/2006/main">
  <w:body>
    <w:p>
      <w:r>
        <w:t>H-3883.1</w:t>
      </w:r>
    </w:p>
    <w:p>
      <w:pPr>
        <w:jc w:val="center"/>
      </w:pPr>
      <w:r>
        <w:t>_______________________________________________</w:t>
      </w:r>
    </w:p>
    <w:p/>
    <w:p>
      <w:pPr>
        <w:jc w:val="center"/>
      </w:pPr>
      <w:r>
        <w:rPr>
          <w:b/>
        </w:rPr>
        <w:t>THIRD SUBSTITUTE HOUSE BILL 1295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Hudgins, Magendanz, S. Hunt, Walsh, Walkinshaw, Lytton, Senn, Jinkins, Sawyer, Stokesbary, Reykdal, Robinson, McBride, Stanford, Tharinger, Bergquist, Clibborn, Pollet, Fey, Gregerson, and Tarleton)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breakfast after the bell programs in certain public schools; amending RCW 28A.150.205; adding new sections to chapter 28A.235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spacing w:before="0" w:after="0" w:line="408" w:lineRule="exact"/>
        <w:ind w:left="0" w:right="0" w:firstLine="576"/>
        <w:jc w:val="left"/>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spacing w:before="0" w:after="0" w:line="408" w:lineRule="exact"/>
        <w:ind w:left="0" w:right="0" w:firstLine="576"/>
        <w:jc w:val="left"/>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spacing w:before="0" w:after="0" w:line="408" w:lineRule="exact"/>
        <w:ind w:left="0" w:right="0" w:firstLine="576"/>
        <w:jc w:val="left"/>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Beginning in the 2017-18 school year, except as provided in subsection (2) of this section, each high-needs school shall offer breakfast after the bell to each student and provide adequate time for students to eat. The state shall provide and the office of the superintendent of public instruction shall administer, one-time start-up allocation grants of six thousand dollars to each high-needs school implementing a breakfast after the bell program. The grant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(b) All public schools are encouraged to offer breakfast after the bell even if not required to do so under this section.</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w:t>
      </w:r>
    </w:p>
    <w:p>
      <w:pPr>
        <w:spacing w:before="0" w:after="0" w:line="408" w:lineRule="exact"/>
        <w:ind w:left="0" w:right="0" w:firstLine="576"/>
        <w:jc w:val="left"/>
      </w:pPr>
      <w:r>
        <w:rPr/>
        <w:t xml:space="preserve">(5) The legislature does not intend to include the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2017, the office of the superintendent of public instruction shall develop and distribute procedures and guidelines for the implementation of section 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spacing w:before="0" w:after="0" w:line="408" w:lineRule="exact"/>
        <w:ind w:left="0" w:right="0" w:firstLine="576"/>
        <w:jc w:val="left"/>
      </w:pPr>
      <w:r>
        <w:rPr/>
        <w:t xml:space="preserve">Unless the context clearly requires otherwise, the definition in this section applies throughout RCW 28A.150.200 through 28A.150.295.</w:t>
      </w:r>
    </w:p>
    <w:p>
      <w:pPr>
        <w:spacing w:before="0" w:after="0" w:line="408" w:lineRule="exact"/>
        <w:ind w:left="0" w:right="0" w:firstLine="576"/>
        <w:jc w:val="left"/>
      </w:pPr>
      <w:r>
        <w:rPr/>
        <w:t xml:space="preserve">"Instructional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 </w:t>
      </w:r>
      <w:r>
        <w:rPr>
          <w:u w:val="single"/>
        </w:rPr>
        <w:t xml:space="preserve">As long as students are provided the opportunity to engage in educational activity concurrently with the consumption of breakfast, and the provision of breakfast allows the regular instructional program to continue functioning, the period of time designated for student participation in breakfast after the bell, defined in section 2 of this act, must be considered instructional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school districts, and affected schools shall implement the provisions of this act only after funding is specifically provided for the purposes of the act, referencing this act by bill or chapter number, in a biennial or supplemental operating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may convene a work group to determine how to reduce the sugar content in all school meals with the goal of reaching twenty-five percent by weight added sugar. Any report or recommendations from this work group should be submitted to the appropriate committees of the legislature and to school districts.</w:t>
      </w:r>
    </w:p>
    <w:p/>
    <w:p>
      <w:pPr>
        <w:jc w:val="center"/>
      </w:pPr>
      <w:r>
        <w:rPr>
          <w:b/>
        </w:rPr>
        <w:t>--- END ---</w:t>
      </w:r>
    </w:p>
    <w:sectPr>
      <w:pgNumType w:start="1"/>
      <w:footerReference xmlns:r="http://schemas.openxmlformats.org/officeDocument/2006/relationships" r:id="R2d8ae69d964241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3738630c5420b" /><Relationship Type="http://schemas.openxmlformats.org/officeDocument/2006/relationships/footer" Target="/word/footer.xml" Id="R2d8ae69d96424158" /></Relationships>
</file>