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742bfcc26d498a" /></Relationships>
</file>

<file path=word/document.xml><?xml version="1.0" encoding="utf-8"?>
<w:document xmlns:w="http://schemas.openxmlformats.org/wordprocessingml/2006/main">
  <w:body>
    <w:p>
      <w:r>
        <w:t>H-0822.1</w:t>
      </w:r>
    </w:p>
    <w:p>
      <w:pPr>
        <w:jc w:val="center"/>
      </w:pPr>
      <w:r>
        <w:t>_______________________________________________</w:t>
      </w:r>
    </w:p>
    <w:p/>
    <w:p>
      <w:pPr>
        <w:jc w:val="center"/>
      </w:pPr>
      <w:r>
        <w:rPr>
          <w:b/>
        </w:rPr>
        <w:t>HOUSE BILL 1292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Young and Caldier</w:t>
      </w:r>
    </w:p>
    <w:p/>
    <w:p>
      <w:r>
        <w:rPr>
          <w:t xml:space="preserve">Read first time 01/16/15.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fee immunity for certain water facilities; and amending RCW 4.24.210.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24</w:t>
      </w:r>
      <w:r>
        <w:rPr/>
        <w:t xml:space="preserve">.</w:t>
      </w:r>
      <w:r>
        <w:t xml:space="preserve">210</w:t>
      </w:r>
      <w:r>
        <w:rPr/>
        <w:t xml:space="preserve"> and 2012 c 15 s 1 are each amended to read as follows:</w:t>
      </w:r>
    </w:p>
    <w:p>
      <w:pPr>
        <w:spacing w:before="0" w:after="0" w:line="408" w:lineRule="exact"/>
        <w:ind w:left="0" w:right="0" w:firstLine="576"/>
        <w:jc w:val="left"/>
      </w:pPr>
      <w:r>
        <w:rPr/>
        <w:t xml:space="preserve">(1) Except as otherwise provided in subsection (3) or (4) of this section, any public or private landowners, hydroelectric project owners, or others in lawful possession and control of any lands whether designated resource, rural, or urban, or water areas or channels and lands adjacent to such areas or channels, who allow members of the public to use them for the purposes of outdoor recreation, which term includes, but is not limited to, the cutting, gathering, and removing of firewood by private persons for their personal use without purchasing the firewood from the landowner, hunting, fishing, camping, picnicking, swimming, hiking, bicycling, skateboarding or other nonmotorized wheel-based activities, aviation activities including, but not limited to, the operation of airplanes, ultra-light airplanes, hang gliders, parachutes, and paragliders, rock climbing, the riding of horses or other animals, clam digging, pleasure driving of off-road vehicles, snowmobiles, and other vehicles, boating, kayaking, canoeing, rafting, nature study, winter or water sports, viewing or enjoying historical, archaeological, scenic, or scientific sites, without charging a fee of any kind therefor, shall not be liable for unintentional injuries to such users.</w:t>
      </w:r>
    </w:p>
    <w:p>
      <w:pPr>
        <w:spacing w:before="0" w:after="0" w:line="408" w:lineRule="exact"/>
        <w:ind w:left="0" w:right="0" w:firstLine="576"/>
        <w:jc w:val="left"/>
      </w:pPr>
      <w:r>
        <w:rPr/>
        <w:t xml:space="preserve">(2) Except as otherwise provided in subsection (3) or (4) of this section, any public or private landowner or others in lawful possession and control of any lands whether rural or urban, or water areas or channels and lands adjacent to such areas or channels, who offer or allow such land to be used for purposes of a fish or wildlife cooperative project, or allow access to such land for cleanup of litter or other solid waste, shall not be liable for unintentional injuries to any volunteer group or to any other users.</w:t>
      </w:r>
    </w:p>
    <w:p>
      <w:pPr>
        <w:spacing w:before="0" w:after="0" w:line="408" w:lineRule="exact"/>
        <w:ind w:left="0" w:right="0" w:firstLine="576"/>
        <w:jc w:val="left"/>
      </w:pPr>
      <w:r>
        <w:rPr/>
        <w:t xml:space="preserve">(3) Any public or private landowner, or others in lawful possession and control of the land, may charge an administrative fee of up to twenty-five dollars for the cutting, gathering, and removing of firewood from the land.</w:t>
      </w:r>
    </w:p>
    <w:p>
      <w:pPr>
        <w:spacing w:before="0" w:after="0" w:line="408" w:lineRule="exact"/>
        <w:ind w:left="0" w:right="0" w:firstLine="576"/>
        <w:jc w:val="left"/>
      </w:pPr>
      <w:r>
        <w:rPr/>
        <w:t xml:space="preserve">(4)(a) Nothing in this section shall prevent the liability of a landowner or others in lawful possession and control for injuries sustained to users by reason of a known dangerous artificial latent condition for which warning signs have not been conspicuously posted.</w:t>
      </w:r>
    </w:p>
    <w:p>
      <w:pPr>
        <w:spacing w:before="0" w:after="0" w:line="408" w:lineRule="exact"/>
        <w:ind w:left="0" w:right="0" w:firstLine="576"/>
        <w:jc w:val="left"/>
      </w:pPr>
      <w:r>
        <w:rPr/>
        <w:t xml:space="preserve">(i) A fixed anchor used in rock climbing and put in place by someone other than a landowner is not a known dangerous artificial latent condition and a landowner under subsection (1) of this section shall not be liable for unintentional injuries resulting from the condition or use of such an anchor.</w:t>
      </w:r>
    </w:p>
    <w:p>
      <w:pPr>
        <w:spacing w:before="0" w:after="0" w:line="408" w:lineRule="exact"/>
        <w:ind w:left="0" w:right="0" w:firstLine="576"/>
        <w:jc w:val="left"/>
      </w:pPr>
      <w:r>
        <w:rPr/>
        <w:t xml:space="preserve">(ii) Releasing water or flows and making waterways or channels available for kayaking, canoeing, or rafting purposes pursuant to and in substantial compliance with a hydroelectric license issued by the federal energy regulatory commission, and making adjacent lands available for purposes of allowing viewing of such activities, does not create a known dangerous artificial latent condition and hydroelectric project owners under subsection (1) of this section shall not be liable for unintentional injuries to the recreational users and observers resulting from such releases and activities.</w:t>
      </w:r>
    </w:p>
    <w:p>
      <w:pPr>
        <w:spacing w:before="0" w:after="0" w:line="408" w:lineRule="exact"/>
        <w:ind w:left="0" w:right="0" w:firstLine="576"/>
        <w:jc w:val="left"/>
      </w:pPr>
      <w:r>
        <w:rPr/>
        <w:t xml:space="preserve">(b) Nothing in RCW 4.24.200 and this section limits or expands in any way the doctrine of attractive nuisance.</w:t>
      </w:r>
    </w:p>
    <w:p>
      <w:pPr>
        <w:spacing w:before="0" w:after="0" w:line="408" w:lineRule="exact"/>
        <w:ind w:left="0" w:right="0" w:firstLine="576"/>
        <w:jc w:val="left"/>
      </w:pPr>
      <w:r>
        <w:rPr/>
        <w:t xml:space="preserve">(c) Usage by members of the public, volunteer groups, or other users is permissive and does not support any claim of adverse possession.</w:t>
      </w:r>
    </w:p>
    <w:p>
      <w:pPr>
        <w:spacing w:before="0" w:after="0" w:line="408" w:lineRule="exact"/>
        <w:ind w:left="0" w:right="0" w:firstLine="576"/>
        <w:jc w:val="left"/>
      </w:pPr>
      <w:r>
        <w:rPr/>
        <w:t xml:space="preserve">(5) For purposes of this section, the following are not fees:</w:t>
      </w:r>
    </w:p>
    <w:p>
      <w:pPr>
        <w:spacing w:before="0" w:after="0" w:line="408" w:lineRule="exact"/>
        <w:ind w:left="0" w:right="0" w:firstLine="576"/>
        <w:jc w:val="left"/>
      </w:pPr>
      <w:r>
        <w:rPr/>
        <w:t xml:space="preserve">(a) A license or permit issued for statewide use under authority of chapter 79A.05 RCW or Title 77 RCW;</w:t>
      </w:r>
    </w:p>
    <w:p>
      <w:pPr>
        <w:spacing w:before="0" w:after="0" w:line="408" w:lineRule="exact"/>
        <w:ind w:left="0" w:right="0" w:firstLine="576"/>
        <w:jc w:val="left"/>
      </w:pPr>
      <w:r>
        <w:rPr/>
        <w:t xml:space="preserve">(b) A pass or permit issued under RCW 79A.80.020, 79A.80.030, or 79A.80.040; ((</w:t>
      </w:r>
      <w:r>
        <w:rPr>
          <w:strike/>
        </w:rPr>
        <w:t xml:space="preserve">and</w:t>
      </w:r>
      <w:r>
        <w:rPr/>
        <w:t xml:space="preserve">))</w:t>
      </w:r>
    </w:p>
    <w:p>
      <w:pPr>
        <w:spacing w:before="0" w:after="0" w:line="408" w:lineRule="exact"/>
        <w:ind w:left="0" w:right="0" w:firstLine="576"/>
        <w:jc w:val="left"/>
      </w:pPr>
      <w:r>
        <w:rPr/>
        <w:t xml:space="preserve">(c) A daily charge not to exceed twenty dollars per person, per day, for access to a publicly owned ORV sports park, as defined in RCW 46.09.310, or other public facility accessed by a highway, street, or nonhighway road for the purposes of off-road vehicle use</w:t>
      </w:r>
      <w:r>
        <w:rPr>
          <w:u w:val="single"/>
        </w:rPr>
        <w:t xml:space="preserve">;</w:t>
      </w:r>
    </w:p>
    <w:p>
      <w:pPr>
        <w:spacing w:before="0" w:after="0" w:line="408" w:lineRule="exact"/>
        <w:ind w:left="0" w:right="0" w:firstLine="576"/>
        <w:jc w:val="left"/>
      </w:pPr>
      <w:r>
        <w:rPr>
          <w:u w:val="single"/>
        </w:rPr>
        <w:t xml:space="preserve">(d) Charges that do not exceed twenty dollars per day or one hundred dollars for an annual permit for the docking or moorage of vessels, including transient vessels, at a moorage facility as defined in RCW 53.08.310 and WAC 332-30-106(38). Every two years after the effective date of this act: The maximum daily charge of twenty dollars will increase by one dollar; and the maximum annual charge of one hundred dollars will increase by five dollars; and</w:t>
      </w:r>
    </w:p>
    <w:p>
      <w:pPr>
        <w:spacing w:before="0" w:after="0" w:line="408" w:lineRule="exact"/>
        <w:ind w:left="0" w:right="0" w:firstLine="576"/>
        <w:jc w:val="left"/>
      </w:pPr>
      <w:r>
        <w:rPr>
          <w:u w:val="single"/>
        </w:rPr>
        <w:t xml:space="preserve">(e) Charges that do not exceed twenty dollars per day or one hundred dollars for an annual permit for the launching of boats at a boat ramp or the parking of boat trailers and attached vehicles in a parking lot adjacent to a boat ramp. Every two years after the effective date of this act: The maximum daily charge of twenty dollars will increase by one dollar; and the maximum annual charge of one hundred dollars will increase by five dollars</w:t>
      </w:r>
      <w:r>
        <w:rPr/>
        <w:t xml:space="preserve">.</w:t>
      </w:r>
    </w:p>
    <w:p/>
    <w:p>
      <w:pPr>
        <w:jc w:val="center"/>
      </w:pPr>
      <w:r>
        <w:rPr>
          <w:b/>
        </w:rPr>
        <w:t>--- END ---</w:t>
      </w:r>
    </w:p>
    <w:sectPr>
      <w:pgNumType w:start="1"/>
      <w:footerReference xmlns:r="http://schemas.openxmlformats.org/officeDocument/2006/relationships" r:id="Reb4644a32d214ea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2c067921e54abd" /><Relationship Type="http://schemas.openxmlformats.org/officeDocument/2006/relationships/footer" Target="/word/footer.xml" Id="Reb4644a32d214ea0" /></Relationships>
</file>