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9f7f227b940ca" /></Relationships>
</file>

<file path=word/document.xml><?xml version="1.0" encoding="utf-8"?>
<w:document xmlns:w="http://schemas.openxmlformats.org/wordprocessingml/2006/main">
  <w:body>
    <w:p>
      <w:r>
        <w:t>H-0871.1</w:t>
      </w:r>
    </w:p>
    <w:p>
      <w:pPr>
        <w:jc w:val="center"/>
      </w:pPr>
      <w:r>
        <w:t>_______________________________________________</w:t>
      </w:r>
    </w:p>
    <w:p/>
    <w:p>
      <w:pPr>
        <w:jc w:val="center"/>
      </w:pPr>
      <w:r>
        <w:rPr>
          <w:b/>
        </w:rPr>
        <w:t>HOUSE BILL 1287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and Jinkins</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less restrictive alternative orders under the involuntary treatment act; and amending RCW 71.05.320 and 71.05.340.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(5) A new petition for involuntary treatment filed under subsection (3) or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except as provided in subsection (7) of this section</w:t>
      </w:r>
      <w:r>
        <w:rPr/>
        <w:t xml:space="preserve">. At the end of the one hundred eighty day period of commitment, </w:t>
      </w:r>
      <w:r>
        <w:rPr>
          <w:u w:val="single"/>
        </w:rPr>
        <w:t xml:space="preserve">or one-year period of commitment if subsection (7) of this section applies,</w:t>
      </w:r>
      <w:r>
        <w:rPr/>
        <w:t xml:space="preserve"> the committed person shall be released unless a petition for </w:t>
      </w:r>
      <w:r>
        <w:t>((</w:t>
      </w:r>
      <w:r>
        <w:rPr>
          <w:strike/>
        </w:rPr>
        <w:t xml:space="preserve">another</w:t>
      </w:r>
      <w:r>
        <w:t>))</w:t>
      </w:r>
      <w:r>
        <w:rPr>
          <w:u w:val="single"/>
        </w:rPr>
        <w:t xml:space="preserve">an additional</w:t>
      </w:r>
      <w:r>
        <w:rPr/>
        <w:t xml:space="preserve">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p>
    <w:p>
      <w:pPr>
        <w:spacing w:before="0" w:after="0" w:line="408" w:lineRule="exact"/>
        <w:ind w:left="0" w:right="0" w:firstLine="576"/>
        <w:jc w:val="left"/>
      </w:pPr>
      <w:r>
        <w:rPr/>
        <w:t xml:space="preserve">(7) </w:t>
      </w:r>
      <w:r>
        <w:rPr>
          <w:u w:val="single"/>
        </w:rPr>
        <w:t xml:space="preserve">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u w:val="single"/>
        </w:rPr>
        <w:t xml:space="preserve">(8)</w:t>
      </w:r>
      <w:r>
        <w:rPr/>
        <w:t xml:space="preserve"> No person committed as provided in this section may be detained unless a valid order of commitment is in effect. No order of commitment can exceed one hundred eighty days in length </w:t>
      </w:r>
      <w:r>
        <w:rPr>
          <w:u w:val="single"/>
        </w:rPr>
        <w:t xml:space="preserve">except as provided in subsection (7)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71.05.320(3)(c)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mental health professional,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spacing w:before="0" w:after="0" w:line="408" w:lineRule="exact"/>
        <w:ind w:left="0" w:right="0" w:firstLine="576"/>
        <w:jc w:val="left"/>
      </w:pPr>
      <w:r>
        <w:rPr/>
        <w:t xml:space="preserve">(e) </w:t>
      </w:r>
      <w:r>
        <w:rPr>
          <w:u w:val="single"/>
        </w:rPr>
        <w:t xml:space="preserve">In determining whether or not to modify the terms of conditional release or return the person to the facility:</w:t>
      </w:r>
    </w:p>
    <w:p>
      <w:pPr>
        <w:spacing w:before="0" w:after="0" w:line="408" w:lineRule="exact"/>
        <w:ind w:left="0" w:right="0" w:firstLine="576"/>
        <w:jc w:val="left"/>
      </w:pPr>
      <w:r>
        <w:rPr>
          <w:u w:val="single"/>
        </w:rPr>
        <w:t xml:space="preserve">(i) The court must consider the symptoms and behavior of the person in light of all available evidence concerning the person's historical behavior, which may include information provided by credible witnesses as defined in RCW 71.05.212(2); and</w:t>
      </w:r>
    </w:p>
    <w:p>
      <w:pPr>
        <w:spacing w:before="0" w:after="0" w:line="408" w:lineRule="exact"/>
        <w:ind w:left="0" w:right="0" w:firstLine="576"/>
        <w:jc w:val="left"/>
      </w:pPr>
      <w:r>
        <w:rPr>
          <w:u w:val="single"/>
        </w:rPr>
        <w:t xml:space="preserve">(ii) If the petition is based on the person's failure to adhere to the terms or conditions of his or her release, the court must give great weight to information regarding symptoms or behavior that: (A) Are closely associated with symptoms or behavior which preceded and led to a past incident of involuntary hospitalization, severe deterioration, or one or more violent acts; (B) represent a marked and concerning change in the baseline behavior of the person; and (C) indicate that without modified terms or return of the person to the facility, continued deterioration is probable.</w:t>
      </w:r>
    </w:p>
    <w:p>
      <w:pPr>
        <w:spacing w:before="0" w:after="0" w:line="408" w:lineRule="exact"/>
        <w:ind w:left="0" w:right="0" w:firstLine="576"/>
        <w:jc w:val="left"/>
      </w:pPr>
      <w:r>
        <w:rPr>
          <w:u w:val="single"/>
        </w:rPr>
        <w:t xml:space="preserve">(f)</w:t>
      </w:r>
      <w:r>
        <w:rPr/>
        <w:t xml:space="preserv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shall be the same as those set forth in this section for conditional releases.</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
      <w:pPr>
        <w:jc w:val="center"/>
      </w:pPr>
      <w:r>
        <w:rPr>
          <w:b/>
        </w:rPr>
        <w:t>--- END ---</w:t>
      </w:r>
    </w:p>
    <w:sectPr>
      <w:pgNumType w:start="1"/>
      <w:footerReference xmlns:r="http://schemas.openxmlformats.org/officeDocument/2006/relationships" r:id="Rccd4b97b66b54b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dc20409c94c89" /><Relationship Type="http://schemas.openxmlformats.org/officeDocument/2006/relationships/footer" Target="/word/footer.xml" Id="Rccd4b97b66b54bbd" /></Relationships>
</file>