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0fdf6cccd4e8d" /></Relationships>
</file>

<file path=word/document.xml><?xml version="1.0" encoding="utf-8"?>
<w:document xmlns:w="http://schemas.openxmlformats.org/wordprocessingml/2006/main">
  <w:body>
    <w:p>
      <w:r>
        <w:t>H-1582.1</w:t>
      </w:r>
    </w:p>
    <w:p>
      <w:pPr>
        <w:jc w:val="center"/>
      </w:pPr>
      <w:r>
        <w:t>_______________________________________________</w:t>
      </w:r>
    </w:p>
    <w:p/>
    <w:p>
      <w:pPr>
        <w:jc w:val="center"/>
      </w:pPr>
      <w:r>
        <w:rPr>
          <w:b/>
        </w:rPr>
        <w:t>SUBSTITUTE HOUSE BILL 1281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Sawyer, Orwall, Hurst, Blake, Stokesbary, Tarleton, Walsh, Kirby, Appleton, G. Hunt, Pettigrew, Jinkins, Carlyle, Fey, Ortiz-Self, Senn, Walkinshaw, Moeller, Kilduff, Robinson, Van De Wege, Stanford, Ryu, Lytton, Sells, Riccelli, Kagi, Bergquist, Clibborn, Santos, Buys, and Gregerson)</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exploitation of minors; amending RCW 67.70.190; adding new sections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spacing w:before="0" w:after="0" w:line="408" w:lineRule="exact"/>
        <w:ind w:left="0" w:right="0" w:firstLine="576"/>
        <w:jc w:val="left"/>
      </w:pPr>
      <w:r>
        <w:rPr/>
        <w:t xml:space="preserve">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RCW 9.68A.070, a person who is convicted of violating RCW 9.68A.070 shall be assessed a fee of one thousand dollars for each depiction or image of visual or printed matter that constitutes a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internet crimes against children account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The internet crimes against children account is created in the custody of the state treasurer. All receipts from fees collected under section 2 of this act must be deposited into the account.</w:t>
      </w:r>
    </w:p>
    <w:p>
      <w:pPr>
        <w:spacing w:before="0" w:after="0" w:line="408" w:lineRule="exact"/>
        <w:ind w:left="0" w:right="0" w:firstLine="576"/>
        <w:jc w:val="left"/>
      </w:pPr>
      <w:r>
        <w:rPr/>
        <w:t xml:space="preserve">(2) Only the attorney general for the state of Washington or the attorney general's designee may authorize expenditures from the account.</w:t>
      </w:r>
    </w:p>
    <w:p>
      <w:pPr>
        <w:spacing w:before="0" w:after="0" w:line="408" w:lineRule="exact"/>
        <w:ind w:left="0" w:right="0" w:firstLine="576"/>
        <w:jc w:val="left"/>
      </w:pPr>
      <w:r>
        <w:rPr/>
        <w:t xml:space="preserve">(3) The attorney general or his or her designee must make any expenditures from the account according to the following schedule:</w:t>
      </w:r>
    </w:p>
    <w:p>
      <w:pPr>
        <w:spacing w:before="0" w:after="0" w:line="408" w:lineRule="exact"/>
        <w:ind w:left="0" w:right="0" w:firstLine="576"/>
        <w:jc w:val="left"/>
      </w:pPr>
      <w:r>
        <w:rPr/>
        <w:t xml:space="preserve">(a) Twenty-five percent of receipts for grants to child advocacy centers, as defined in RCW 26.44.020; and</w:t>
      </w:r>
    </w:p>
    <w:p>
      <w:pPr>
        <w:spacing w:before="0" w:after="0" w:line="408" w:lineRule="exact"/>
        <w:ind w:left="0" w:right="0" w:firstLine="576"/>
        <w:jc w:val="left"/>
      </w:pPr>
      <w:r>
        <w:rPr/>
        <w:t xml:space="preserve">(b) Seventy-five percent of receipts for grants to the Washington internet crimes against children task force for use in investigations and prosecutions of crimes against children.</w:t>
      </w:r>
    </w:p>
    <w:p>
      <w:pPr>
        <w:spacing w:before="0" w:after="0" w:line="408" w:lineRule="exact"/>
        <w:ind w:left="0" w:right="0" w:firstLine="576"/>
        <w:jc w:val="left"/>
      </w:pPr>
      <w:r>
        <w:rPr/>
        <w:t xml:space="preserve">(4)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r>
        <w:rPr>
          <w:u w:val="single"/>
        </w:rPr>
        <w:t xml:space="preserve">, and one-third shall be deposited in the internet crimes against children account created in section 3 of this act</w:t>
      </w:r>
      <w:r>
        <w:rPr/>
        <w:t xml:space="preserve">.</w:t>
      </w:r>
    </w:p>
    <w:p>
      <w:pPr>
        <w:spacing w:before="0" w:after="0" w:line="408" w:lineRule="exact"/>
        <w:ind w:left="0" w:right="0" w:firstLine="576"/>
        <w:jc w:val="left"/>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spacing w:before="0" w:after="0" w:line="408" w:lineRule="exact"/>
        <w:ind w:left="0" w:right="0" w:firstLine="576"/>
        <w:jc w:val="left"/>
      </w:pPr>
      <w:r>
        <w:rPr>
          <w:strike/>
        </w:rPr>
        <w:t xml:space="preserve">During the 2013-2015 fiscal biennium, the legislature may transfer to the education legacy trust account such amounts as reflect the excess fund balance in the state lottery account from unclaimed prizes.</w:t>
      </w:r>
      <w:r>
        <w:t>))</w:t>
      </w:r>
    </w:p>
    <w:p/>
    <w:p>
      <w:pPr>
        <w:jc w:val="center"/>
      </w:pPr>
      <w:r>
        <w:rPr>
          <w:b/>
        </w:rPr>
        <w:t>--- END ---</w:t>
      </w:r>
    </w:p>
    <w:sectPr>
      <w:pgNumType w:start="1"/>
      <w:footerReference xmlns:r="http://schemas.openxmlformats.org/officeDocument/2006/relationships" r:id="Rb80409b573f244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5ca3b50e1e407f" /><Relationship Type="http://schemas.openxmlformats.org/officeDocument/2006/relationships/footer" Target="/word/footer.xml" Id="Rb80409b573f2447e" /></Relationships>
</file>