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45bb253eb4ef8" /></Relationships>
</file>

<file path=word/document.xml><?xml version="1.0" encoding="utf-8"?>
<w:document xmlns:w="http://schemas.openxmlformats.org/wordprocessingml/2006/main">
  <w:body>
    <w:p>
      <w:r>
        <w:t>H-1405.2</w:t>
      </w:r>
    </w:p>
    <w:p>
      <w:pPr>
        <w:jc w:val="center"/>
      </w:pPr>
      <w:r>
        <w:t>_______________________________________________</w:t>
      </w:r>
    </w:p>
    <w:p/>
    <w:p>
      <w:pPr>
        <w:jc w:val="center"/>
      </w:pPr>
      <w:r>
        <w:rPr>
          <w:b/>
        </w:rPr>
        <w:t>SUBSTITUTE HOUSE BILL 1278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Fitzgibbon, Dunshee, Farrell, S. Hunt, Peterson, Fey, and Tarleton)</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energy use disclosure requirements; amending RCW 19.27A.140, 19.27A.170, 43.21B.110, and 43.21B.110; adding new sections to chapter 19.27A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reducing the energy use of buildings is an important component of the state's effort to meet its greenhouse gas emissions reduction obligations required by state law. Recent analysis considered by the 2014 climate change task force established by executive order indicates that more than one-third of the state's greenhouse gas emissions are attributable to sources that are associated with building energy use: Electricity generation and residential, commercial, and industrial uses of oil, coal, and natural gas.</w:t>
      </w:r>
    </w:p>
    <w:p>
      <w:pPr>
        <w:spacing w:before="0" w:after="0" w:line="408" w:lineRule="exact"/>
        <w:ind w:left="0" w:right="0" w:firstLine="576"/>
        <w:jc w:val="left"/>
      </w:pPr>
      <w:r>
        <w:rPr/>
        <w:t xml:space="preserve">(2) The establishment of meaningful, enforceable requirements for buildings to disclose their energy use data creates an important signal to building owners, prospective building owners, tenants, and others in real estate markets about the true environmental and financial costs associated with the use of that building. The disclosure of this information allows real estate market participants to make decisions that will save them money by lowering their utility bills and can provide an important incentive for real estate market participants to invest in emissions-reducing and energy-saving upgrades. Real-world experience confirms that the addition of building energy use information to real estate markets provides incentive for buildings to lower their energy use and associated greenhouse gas emissions: Analysis by the United States environmental protection agency has shown that commercial buildings that participate in a benchmarking program achieve a seven percent reduction in energy use over their first three years in the program. By simply providing information to real estate markets through required disclosure, the state will achieve substantial greenhouse gas emission reductions by reducing the energy use of buildings.</w:t>
      </w:r>
    </w:p>
    <w:p>
      <w:pPr>
        <w:spacing w:before="0" w:after="0" w:line="408" w:lineRule="exact"/>
        <w:ind w:left="0" w:right="0" w:firstLine="576"/>
        <w:jc w:val="left"/>
      </w:pPr>
      <w:r>
        <w:rPr/>
        <w:t xml:space="preserve">(3) In 2009, the legislature established requirements that certain nonresidential building owners maintain information about their building energy use at the time of sale. In the years following the 2009 legislature's enactment of the current building energy use disclosure requirements, local governments in Washington and elsewhere have built upon the lessons learned from the state's implementation of its groundbreaking benchmarking efforts. These jurisdictions have been able to introduce more complete benchmarking information across their real estate markets by requiring procedures to support the consistent submission of building energy use information, including the establishment of penalties for violations of energy use disclosure requirements.</w:t>
      </w:r>
    </w:p>
    <w:p>
      <w:pPr>
        <w:spacing w:before="0" w:after="0" w:line="408" w:lineRule="exact"/>
        <w:ind w:left="0" w:right="0" w:firstLine="576"/>
        <w:jc w:val="left"/>
      </w:pPr>
      <w:r>
        <w:rPr/>
        <w:t xml:space="preserve">(4) In recognition of the benefits of establishing compliance mechanisms to accompany benchmarking requirements, the state energy strategy recommends improvements to the state's benchmarking law. This strategic energy report includes a recommendation that the state receive energy benchmarking data to assess the impact of the program and to better ensure statewide compliance with building energy benchmarking requirements. This act moves the state towards meeting the goals laid out in the state energy strategy by encouraging market-wide participation in the energy benchmarking program and by encouraging the consideration of building energy use information during market transactions.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The proprietor of each reporting building shall establish a United States environmental protection agency portfolio manager account and shall request that a qualifying utility servicing the reporting building provide the proprietor with energy consumption and energy cost data for all accounts associated with the reporting building. The proprietor shall identify to the qualifying utility the accounts associated with each reporting building.</w:t>
      </w:r>
    </w:p>
    <w:p>
      <w:pPr>
        <w:spacing w:before="0" w:after="0" w:line="408" w:lineRule="exact"/>
        <w:ind w:left="0" w:right="0" w:firstLine="576"/>
        <w:jc w:val="left"/>
      </w:pPr>
      <w:r>
        <w:rPr/>
        <w:t xml:space="preserve">(b) A proprietor of a reporting building shall disclose the United States environmental protection agency's energy star statement of energy performance produced using a portfolio manager account to a prospective buyer, lessee, or lender for the preceding calendar year. A proprietor who delivers the United States environmental protection agency's energy star statement of energy performance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statement of energy performance for each month of the preceding calendar year for the building that is being sold, leased, financed, or refinanced.</w:t>
      </w:r>
    </w:p>
    <w:p>
      <w:pPr>
        <w:spacing w:before="0" w:after="0" w:line="408" w:lineRule="exact"/>
        <w:ind w:left="0" w:right="0" w:firstLine="576"/>
        <w:jc w:val="left"/>
      </w:pPr>
      <w:r>
        <w:rPr/>
        <w:t xml:space="preserve">(2) By April 1, 2017, and April 1st of each year thereafter, the proprietor of a reporting building must transfer the United States environmental protection agency's energy star portfolio manager building characteristics, energy consumption, and energy cost data for each month of the preceding calendar year to the commerce portfolio manager account using the portfolio manager sharing feature.</w:t>
      </w:r>
    </w:p>
    <w:p>
      <w:pPr>
        <w:spacing w:before="0" w:after="0" w:line="408" w:lineRule="exact"/>
        <w:ind w:left="0" w:right="0" w:firstLine="576"/>
        <w:jc w:val="left"/>
      </w:pPr>
      <w:r>
        <w:rPr/>
        <w:t xml:space="preserve">(3) If any proprietor of a reporting building discloses information in good faith concerning a building's energy consumption, energy cost, or other benchmarking data in accordance with this chapter, no cause of action shall arise from the disclosure and the proprietor is not liable to others for the disclosure or its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The department shall establish a United States environmental protection agency energy star portfolio manager account to support data sharing transfers from proprietors.</w:t>
      </w:r>
    </w:p>
    <w:p>
      <w:pPr>
        <w:spacing w:before="0" w:after="0" w:line="408" w:lineRule="exact"/>
        <w:ind w:left="0" w:right="0" w:firstLine="576"/>
        <w:jc w:val="left"/>
      </w:pPr>
      <w:r>
        <w:rPr/>
        <w:t xml:space="preserve">(2)(a) The department shall make publicly available the building characteristics, annual energy consumption, energy cost, ratings, and other energy use data of reporting buildings.</w:t>
      </w:r>
    </w:p>
    <w:p>
      <w:pPr>
        <w:spacing w:before="0" w:after="0" w:line="408" w:lineRule="exact"/>
        <w:ind w:left="0" w:right="0" w:firstLine="576"/>
        <w:jc w:val="left"/>
      </w:pPr>
      <w:r>
        <w:rPr/>
        <w:t xml:space="preserve">(b) For each reporting building, the department shall identify the city, county, and qualifying utility that provides service to the reporting building. The department must periodically update the building characteristics, energy consumption, and energy cost data and ratings that it makes available under this subsection.</w:t>
      </w:r>
    </w:p>
    <w:p>
      <w:pPr>
        <w:spacing w:before="0" w:after="0" w:line="408" w:lineRule="exact"/>
        <w:ind w:left="0" w:right="0" w:firstLine="576"/>
        <w:jc w:val="left"/>
      </w:pPr>
      <w:r>
        <w:rPr/>
        <w:t xml:space="preserve">(3) Beginning June 1, 2017, and by June 1st of each subsequent year, the department shall analyze the data sharing transfers from proprietors and other supporting information to determine:</w:t>
      </w:r>
    </w:p>
    <w:p>
      <w:pPr>
        <w:spacing w:before="0" w:after="0" w:line="408" w:lineRule="exact"/>
        <w:ind w:left="0" w:right="0" w:firstLine="576"/>
        <w:jc w:val="left"/>
      </w:pPr>
      <w:r>
        <w:rPr/>
        <w:t xml:space="preserve">(a) Which reporting buildings in Washington have disclosed and transferred the information required by section 2 of this act during the preceding calendar year; and</w:t>
      </w:r>
    </w:p>
    <w:p>
      <w:pPr>
        <w:spacing w:before="0" w:after="0" w:line="408" w:lineRule="exact"/>
        <w:ind w:left="0" w:right="0" w:firstLine="576"/>
        <w:jc w:val="left"/>
      </w:pPr>
      <w:r>
        <w:rPr/>
        <w:t xml:space="preserve">(b) Which reporting buildings in Washington have failed to disclose and transfer the information required by section 2 of this act.</w:t>
      </w:r>
    </w:p>
    <w:p>
      <w:pPr>
        <w:spacing w:before="0" w:after="0" w:line="408" w:lineRule="exact"/>
        <w:ind w:left="0" w:right="0" w:firstLine="576"/>
        <w:jc w:val="left"/>
      </w:pPr>
      <w:r>
        <w:rPr/>
        <w:t xml:space="preserve">(4) If the department makes publicly available reporting building energy consumption, energy cost data, or other benchmarking data or information in good faith in accordance with this chapter, no cause of action shall arise from the disclosure and the department is not liable to others for the disclosure or its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department is authorized to enforce the disclosure requirements of RCW 19.27A.170 and section 2 of this act. The department is authorized to investigate and determine if a qualifying utility or proprietor has not complied with the requirements of RCW 19.27A.170 or section 2 of this act. The department shall work with qualifying utilities and proprietors to come into compliance with the energy benchmarking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19.27A.130 through 19.27A.190 </w:t>
      </w:r>
      <w:r>
        <w:t>((</w:t>
      </w:r>
      <w:r>
        <w:rPr>
          <w:strike/>
        </w:rPr>
        <w:t xml:space="preserve">and</w:t>
      </w:r>
      <w:r>
        <w:t>))</w:t>
      </w:r>
      <w:r>
        <w:rPr>
          <w:u w:val="single"/>
        </w:rPr>
        <w:t xml:space="preserve">,</w:t>
      </w:r>
      <w:r>
        <w:rPr/>
        <w:t xml:space="preserve"> 19.27A.020</w:t>
      </w:r>
      <w:r>
        <w:rPr>
          <w:u w:val="single"/>
        </w:rPr>
        <w:t xml:space="preserve">, and sections 2, 3, and 4 of this act</w:t>
      </w:r>
      <w:r>
        <w:rPr/>
        <w:t xml:space="preserve">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 </w:t>
      </w:r>
      <w:r>
        <w:rPr>
          <w:u w:val="single"/>
        </w:rPr>
        <w:t xml:space="preserve">account</w:t>
      </w:r>
      <w:r>
        <w:rPr/>
        <w:t xml:space="preserve">.</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w:t>
      </w:r>
      <w:r>
        <w:t>((</w:t>
      </w:r>
      <w:r>
        <w:rPr>
          <w:strike/>
        </w:rPr>
        <w:t xml:space="preserve">or an equivalent tool adopted by the department of enterprise services</w:t>
      </w:r>
      <w:r>
        <w:t>))</w:t>
      </w:r>
      <w:r>
        <w:rPr/>
        <w:t xml:space="preserve">.</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"Building characteristics" means the building size, age, primary function, address, and other information required to create a statement of energy performance.</w:t>
      </w:r>
    </w:p>
    <w:p>
      <w:pPr>
        <w:spacing w:before="0" w:after="0" w:line="408" w:lineRule="exact"/>
        <w:ind w:left="0" w:right="0" w:firstLine="576"/>
        <w:jc w:val="left"/>
      </w:pPr>
      <w:r>
        <w:rPr>
          <w:u w:val="single"/>
        </w:rPr>
        <w:t xml:space="preserve">(23) "Commerce portfolio manager account" means the portfolio manager master account created by the department pursuant to section 3 of this act.</w:t>
      </w:r>
    </w:p>
    <w:p>
      <w:pPr>
        <w:spacing w:before="0" w:after="0" w:line="408" w:lineRule="exact"/>
        <w:ind w:left="0" w:right="0" w:firstLine="576"/>
        <w:jc w:val="left"/>
      </w:pPr>
      <w:r>
        <w:rPr>
          <w:u w:val="single"/>
        </w:rPr>
        <w:t xml:space="preserve">(24) "Department" means the department of commerce.</w:t>
      </w:r>
    </w:p>
    <w:p>
      <w:pPr>
        <w:spacing w:before="0" w:after="0" w:line="408" w:lineRule="exact"/>
        <w:ind w:left="0" w:right="0" w:firstLine="576"/>
        <w:jc w:val="left"/>
      </w:pPr>
      <w:r>
        <w:rPr>
          <w:u w:val="single"/>
        </w:rPr>
        <w:t xml:space="preserve">(25) "Proprietor" means the owner or operator of a building or an agent acting on behalf of the owner or operator of a building.</w:t>
      </w:r>
    </w:p>
    <w:p>
      <w:pPr>
        <w:spacing w:before="0" w:after="0" w:line="408" w:lineRule="exact"/>
        <w:ind w:left="0" w:right="0" w:firstLine="576"/>
        <w:jc w:val="left"/>
      </w:pPr>
      <w:r>
        <w:rPr>
          <w:u w:val="single"/>
        </w:rPr>
        <w:t xml:space="preserve">(26) "Reporting building" means:</w:t>
      </w:r>
    </w:p>
    <w:p>
      <w:pPr>
        <w:spacing w:before="0" w:after="0" w:line="408" w:lineRule="exact"/>
        <w:ind w:left="0" w:right="0" w:firstLine="576"/>
        <w:jc w:val="left"/>
      </w:pPr>
      <w:r>
        <w:rPr>
          <w:u w:val="single"/>
        </w:rPr>
        <w:t xml:space="preserve">(a) A building that exceeds twenty thousand square feet of conditioned space except for a building that:</w:t>
      </w:r>
    </w:p>
    <w:p>
      <w:pPr>
        <w:spacing w:before="0" w:after="0" w:line="408" w:lineRule="exact"/>
        <w:ind w:left="0" w:right="0" w:firstLine="576"/>
        <w:jc w:val="left"/>
      </w:pPr>
      <w:r>
        <w:rPr>
          <w:u w:val="single"/>
        </w:rPr>
        <w:t xml:space="preserve">(i) Is a factory group F building, a residential group R building other than a group R-2 building containing five or more dwelling units, or a miscellaneous and utility group U building, as defined in the 2012 Washington state building code; or</w:t>
      </w:r>
    </w:p>
    <w:p>
      <w:pPr>
        <w:spacing w:before="0" w:after="0" w:line="408" w:lineRule="exact"/>
        <w:ind w:left="0" w:right="0" w:firstLine="576"/>
        <w:jc w:val="left"/>
      </w:pPr>
      <w:r>
        <w:rPr>
          <w:u w:val="single"/>
        </w:rPr>
        <w:t xml:space="preserve">(ii) Does not receive gas or electric service from a utility that is not a qualifying utility.</w:t>
      </w:r>
    </w:p>
    <w:p>
      <w:pPr>
        <w:spacing w:before="0" w:after="0" w:line="408" w:lineRule="exact"/>
        <w:ind w:left="0" w:right="0" w:firstLine="576"/>
        <w:jc w:val="left"/>
      </w:pPr>
      <w:r>
        <w:rPr>
          <w:u w:val="single"/>
        </w:rPr>
        <w:t xml:space="preserve">(b) A campus of buildings that are served by a shared energy utility account and together exceed twenty thousand square feet of conditioned space, except for a campus of buildings that:</w:t>
      </w:r>
    </w:p>
    <w:p>
      <w:pPr>
        <w:spacing w:before="0" w:after="0" w:line="408" w:lineRule="exact"/>
        <w:ind w:left="0" w:right="0" w:firstLine="576"/>
        <w:jc w:val="left"/>
      </w:pPr>
      <w:r>
        <w:rPr>
          <w:u w:val="single"/>
        </w:rPr>
        <w:t xml:space="preserve">(i) Are comprised exclusively of any combination of factory group F buildings, residential group R buildings other than a group R-2 building containing five or more dwelling units, or miscellaneous and utility group U buildings, as defined in the 2012 Washington state building code; or</w:t>
      </w:r>
    </w:p>
    <w:p>
      <w:pPr>
        <w:spacing w:before="0" w:after="0" w:line="408" w:lineRule="exact"/>
        <w:ind w:left="0" w:right="0" w:firstLine="576"/>
        <w:jc w:val="left"/>
      </w:pPr>
      <w:r>
        <w:rPr>
          <w:u w:val="single"/>
        </w:rPr>
        <w:t xml:space="preserve">(ii) Do not receive gas or electric service from a utility that is not a qualifying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2009 c 423 s 6 are each amended to read as follows:</w:t>
      </w:r>
    </w:p>
    <w:p>
      <w:pPr>
        <w:spacing w:before="0" w:after="0" w:line="408" w:lineRule="exact"/>
        <w:ind w:left="0" w:right="0" w:firstLine="576"/>
        <w:jc w:val="left"/>
      </w:pPr>
      <w:r>
        <w:rPr/>
        <w:t xml:space="preserve">(1) </w:t>
      </w:r>
      <w:r>
        <w:t>((</w:t>
      </w:r>
      <w:r>
        <w:rPr>
          <w:strike/>
        </w:rPr>
        <w:t xml:space="preserve">On and after January 1, 2010,</w:t>
      </w:r>
      <w:r>
        <w:t>))</w:t>
      </w:r>
      <w:r>
        <w:rPr>
          <w:u w:val="single"/>
        </w:rPr>
        <w:t xml:space="preserve">Q</w:t>
      </w:r>
      <w:r>
        <w:rPr/>
        <w:t xml:space="preserve">ualifying utilities shall maintain records of the energy consumption data of all </w:t>
      </w:r>
      <w:r>
        <w:t>((</w:t>
      </w:r>
      <w:r>
        <w:rPr>
          <w:strike/>
        </w:rPr>
        <w:t xml:space="preserve">nonresidential and qualifying public agency buildings</w:t>
      </w:r>
      <w:r>
        <w:t>))</w:t>
      </w:r>
      <w:r>
        <w:rPr>
          <w:u w:val="single"/>
        </w:rPr>
        <w:t xml:space="preserve">customer accounts</w:t>
      </w:r>
      <w:r>
        <w:rPr/>
        <w:t xml:space="preserve"> to which they provide service. This data must be maintained </w:t>
      </w:r>
      <w:r>
        <w:t>((</w:t>
      </w:r>
      <w:r>
        <w:rPr>
          <w:strike/>
        </w:rPr>
        <w:t xml:space="preserve">for at least the most recent twelve months</w:t>
      </w:r>
      <w:r>
        <w:t>))</w:t>
      </w:r>
      <w:r>
        <w:rPr/>
        <w:t xml:space="preserve"> in a format compatible for uploading to the United States environmental protection agency's energy star portfolio manager. </w:t>
      </w:r>
      <w:r>
        <w:rPr>
          <w:u w:val="single"/>
        </w:rPr>
        <w:t xml:space="preserve">In carrying out the requirements of this section, qualifying utilities shall disclose and update energy consumption and energy cost data each billing period. The data disclosed and updated by qualifying utilities must be continuous and date back to no later than January 1, 2016.</w:t>
      </w:r>
    </w:p>
    <w:p>
      <w:pPr>
        <w:spacing w:before="0" w:after="0" w:line="408" w:lineRule="exact"/>
        <w:ind w:left="0" w:right="0" w:firstLine="576"/>
        <w:jc w:val="left"/>
      </w:pPr>
      <w:r>
        <w:rPr/>
        <w:t xml:space="preserve">(2) </w:t>
      </w:r>
      <w:r>
        <w:t>((</w:t>
      </w:r>
      <w:r>
        <w:rPr>
          <w:strike/>
        </w:rPr>
        <w:t xml:space="preserve">On and after January 1, 2010, upon the written authorization or secure electronic authorization of a nonresidential building owner or operator,</w:t>
      </w:r>
      <w:r>
        <w:t>))</w:t>
      </w:r>
      <w:r>
        <w:rPr>
          <w:u w:val="single"/>
        </w:rPr>
        <w:t xml:space="preserve">A</w:t>
      </w:r>
      <w:r>
        <w:rPr/>
        <w:t xml:space="preserve"> qualifying utility shall upload the energy consumption </w:t>
      </w:r>
      <w:r>
        <w:rPr>
          <w:u w:val="single"/>
        </w:rPr>
        <w:t xml:space="preserve">and energy cost</w:t>
      </w:r>
      <w:r>
        <w:rPr/>
        <w:t xml:space="preserve"> data for the accounts specified by the </w:t>
      </w:r>
      <w:r>
        <w:t>((</w:t>
      </w:r>
      <w:r>
        <w:rPr>
          <w:strike/>
        </w:rPr>
        <w:t xml:space="preserve">owner or operator</w:t>
      </w:r>
      <w:r>
        <w:t>))</w:t>
      </w:r>
      <w:r>
        <w:rPr>
          <w:u w:val="single"/>
        </w:rPr>
        <w:t xml:space="preserve">proprietor</w:t>
      </w:r>
      <w:r>
        <w:rPr/>
        <w:t xml:space="preserve">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t xml:space="preserve">(3) </w:t>
      </w:r>
      <w:r>
        <w:rPr>
          <w:u w:val="single"/>
        </w:rPr>
        <w:t xml:space="preserve">Until January 1, 2017, i</w:t>
      </w:r>
      <w:r>
        <w:rPr/>
        <w:t xml:space="preserve">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 </w:t>
      </w:r>
      <w:r>
        <w:rPr>
          <w:u w:val="single"/>
        </w:rPr>
        <w:t xml:space="preserve">After January 1, 2017, qualifying utilities shall upload the reporting building energy consumption and energy cost data by using energy star portfolio manager web services in order to automatically upload the specified data to the United States environmental protection agency's energy star portfolio manager.</w:t>
      </w:r>
    </w:p>
    <w:p>
      <w:pPr>
        <w:spacing w:before="0" w:after="0" w:line="408" w:lineRule="exact"/>
        <w:ind w:left="0" w:right="0" w:firstLine="576"/>
        <w:jc w:val="left"/>
      </w:pPr>
      <w:r>
        <w:rPr/>
        <w:t xml:space="preserve">(4) </w:t>
      </w:r>
      <w:r>
        <w:t>((</w:t>
      </w:r>
      <w:r>
        <w:rPr>
          <w:strike/>
        </w:rPr>
        <w:t xml:space="preserve">Disclosure of nonpublic nonresidential benchmarking data and ratings required under subsection (5) of this section will be phased in as follows: </w:t>
      </w:r>
    </w:p>
    <w:p>
      <w:pPr>
        <w:spacing w:before="0" w:after="0" w:line="408" w:lineRule="exact"/>
        <w:ind w:left="0" w:right="0" w:firstLine="576"/>
        <w:jc w:val="left"/>
      </w:pPr>
      <w:r>
        <w:rPr>
          <w:strike/>
        </w:rPr>
        <w:t xml:space="preserve">(a) By January 1, 2011, for buildings greater than fifty thousand square feet; and</w:t>
      </w:r>
    </w:p>
    <w:p>
      <w:pPr>
        <w:spacing w:before="0" w:after="0" w:line="408" w:lineRule="exact"/>
        <w:ind w:left="0" w:right="0" w:firstLine="576"/>
        <w:jc w:val="left"/>
      </w:pPr>
      <w:r>
        <w:rPr>
          <w:strike/>
        </w:rPr>
        <w:t xml:space="preserve">(b) By January 1, 2012, for buildings greater than ten thousand square feet.</w:t>
      </w:r>
    </w:p>
    <w:p>
      <w:pPr>
        <w:spacing w:before="0" w:after="0" w:line="408" w:lineRule="exact"/>
        <w:ind w:left="0" w:right="0" w:firstLine="576"/>
        <w:jc w:val="left"/>
      </w:pPr>
      <w:r>
        <w:rPr>
          <w:strike/>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strike/>
        </w:rPr>
        <w:t xml:space="preserve">(6) Notwithstanding subsections (4) and (5) of this section,</w:t>
      </w:r>
      <w:r>
        <w:t>))</w:t>
      </w:r>
      <w:r>
        <w:rPr>
          <w:u w:val="single"/>
        </w:rPr>
        <w:t xml:space="preserve">N</w:t>
      </w:r>
      <w:r>
        <w:rPr/>
        <w:t xml:space="preserve">othing in this section </w:t>
      </w:r>
      <w:r>
        <w:t>((</w:t>
      </w:r>
      <w:r>
        <w:rPr>
          <w:strike/>
        </w:rPr>
        <w:t xml:space="preserve">increases or decreases the duties, if any, of a building owner, operator, or their agent under this chapter</w:t>
      </w:r>
      <w:r>
        <w:t>))</w:t>
      </w:r>
      <w:r>
        <w:rPr/>
        <w:t xml:space="preserve"> or </w:t>
      </w:r>
      <w:r>
        <w:rPr>
          <w:u w:val="single"/>
        </w:rPr>
        <w:t xml:space="preserve">section 2 of this act</w:t>
      </w:r>
      <w:r>
        <w:rPr/>
        <w:t xml:space="preserve"> alters the duty of a seller, agent, or broker to disclose the existence of a material fact affecting the real property.</w:t>
      </w:r>
    </w:p>
    <w:p>
      <w:pPr>
        <w:spacing w:before="0" w:after="0" w:line="408" w:lineRule="exact"/>
        <w:ind w:left="0" w:right="0" w:firstLine="576"/>
        <w:jc w:val="left"/>
      </w:pPr>
      <w:r>
        <w:rPr>
          <w:u w:val="single"/>
        </w:rPr>
        <w:t xml:space="preserve">(5) Nothing in this section or section 3 of this act changes or limits the authority of a public entity to adopt building energy use disclosure requirements that are in addition to the requirements imposed by this section. The adoption of building energy use disclosure requirements that are in addition to the requirements of this chapter by a public entity does not affect the obligation of a utility or proprietor to comply with the requirements of this chapter.</w:t>
      </w:r>
    </w:p>
    <w:p>
      <w:pPr>
        <w:spacing w:before="0" w:after="0" w:line="408" w:lineRule="exact"/>
        <w:ind w:left="0" w:right="0" w:firstLine="576"/>
        <w:jc w:val="left"/>
      </w:pPr>
      <w:r>
        <w:rPr>
          <w:u w:val="single"/>
        </w:rPr>
        <w:t xml:space="preserve">(6) If any qualifying utility discloses information in good faith concerning energy consumption, energy cost, or other benchmarking data in accordance with this chapter, no cause of action shall arise from the disclosure and the qualifying utility is not liable to its customer or others for the disclosure or its consequences. A qualifying utility is not required to obtain a customer's written or electronic permission to disclose energy consumption, energy cost, or other benchmarking data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If the department determines that a proprietor is not in compliance with the disclosure requirements of RCW 19.27A.170 or section 2 of this act, the department may issue a written notice of violation to the proprietor. The notice must state the requirement that was violated and any penalties imposed as a result of the violation.</w:t>
      </w:r>
    </w:p>
    <w:p>
      <w:pPr>
        <w:spacing w:before="0" w:after="0" w:line="408" w:lineRule="exact"/>
        <w:ind w:left="0" w:right="0" w:firstLine="576"/>
        <w:jc w:val="left"/>
      </w:pPr>
      <w:r>
        <w:rPr/>
        <w:t xml:space="preserve">(b) The department may impose the following penalties on a proprietor for the failure to disclose and transfer the building energy use benchmarking data as required by section 2 of this act:</w:t>
      </w:r>
    </w:p>
    <w:p>
      <w:pPr>
        <w:spacing w:before="0" w:after="0" w:line="408" w:lineRule="exact"/>
        <w:ind w:left="0" w:right="0" w:firstLine="576"/>
        <w:jc w:val="left"/>
      </w:pPr>
      <w:r>
        <w:rPr/>
        <w:t xml:space="preserve">(i) If the proprietor is not in compliance with the disclosure requirements of section 2 of this act within ninety days of receipt of the notice of violation, the department may impose a penalty of up to five hundred dollars;</w:t>
      </w:r>
    </w:p>
    <w:p>
      <w:pPr>
        <w:spacing w:before="0" w:after="0" w:line="408" w:lineRule="exact"/>
        <w:ind w:left="0" w:right="0" w:firstLine="576"/>
        <w:jc w:val="left"/>
      </w:pPr>
      <w:r>
        <w:rPr/>
        <w:t xml:space="preserve">(ii) If the proprietor is not in compliance with the disclosure requirements of section 2 of this act within one hundred eighty days of receipt of the notice of violation, the department may impose a total cumulative penalty of up to one thousand dollars;</w:t>
      </w:r>
    </w:p>
    <w:p>
      <w:pPr>
        <w:spacing w:before="0" w:after="0" w:line="408" w:lineRule="exact"/>
        <w:ind w:left="0" w:right="0" w:firstLine="576"/>
        <w:jc w:val="left"/>
      </w:pPr>
      <w:r>
        <w:rPr/>
        <w:t xml:space="preserve">(iii) If the proprietor is not in compliance with the disclosure requirements of section 2 of this act within two hundred seventy days of receipt of the notice of violation, the department may impose a total cumulative penalty of up to two thousand dollars; and</w:t>
      </w:r>
    </w:p>
    <w:p>
      <w:pPr>
        <w:spacing w:before="0" w:after="0" w:line="408" w:lineRule="exact"/>
        <w:ind w:left="0" w:right="0" w:firstLine="576"/>
        <w:jc w:val="left"/>
      </w:pPr>
      <w:r>
        <w:rPr/>
        <w:t xml:space="preserve">(iv) If the proprietor is not in compliance with the disclosure requirements of section 2 of this act within three hundred sixty days of receipt of the notice of violation, the department may impose a total cumulative penalty of up to four thousand dollars.</w:t>
      </w:r>
    </w:p>
    <w:p>
      <w:pPr>
        <w:spacing w:before="0" w:after="0" w:line="408" w:lineRule="exact"/>
        <w:ind w:left="0" w:right="0" w:firstLine="576"/>
        <w:jc w:val="left"/>
      </w:pPr>
      <w:r>
        <w:rPr/>
        <w:t xml:space="preserve">(2) In addition to the penalties authorized in subsection (1) of this section, the department may concurrently impose a separate and additional fine of up to five hundred dollars if the proprietor has previously been served with a notice of violation associated with the building under this chapter.</w:t>
      </w:r>
    </w:p>
    <w:p>
      <w:pPr>
        <w:spacing w:before="0" w:after="0" w:line="408" w:lineRule="exact"/>
        <w:ind w:left="0" w:right="0" w:firstLine="576"/>
        <w:jc w:val="left"/>
      </w:pPr>
      <w:r>
        <w:rPr/>
        <w:t xml:space="preserve">(3) If the department determines that the proprietor has complied with the disclosure requirements of section 2 of this act within ninety days of receipt of the notice of violation and the proprietor has not previously been served with a notice of violation by the department, the department must waive the penalty for the violation. The department may consider any technical difficulties experienced by a proprietor with the portfolio manager system in determining whether to assess or waive a penalty under this section.</w:t>
      </w:r>
    </w:p>
    <w:p>
      <w:pPr>
        <w:spacing w:before="0" w:after="0" w:line="408" w:lineRule="exact"/>
        <w:ind w:left="0" w:right="0" w:firstLine="576"/>
        <w:jc w:val="left"/>
      </w:pPr>
      <w:r>
        <w:rPr/>
        <w:t xml:space="preserve">(4) The authority of the department to issue penalties pursuant to this section is phased in as follows:</w:t>
      </w:r>
    </w:p>
    <w:p>
      <w:pPr>
        <w:spacing w:before="0" w:after="0" w:line="408" w:lineRule="exact"/>
        <w:ind w:left="0" w:right="0" w:firstLine="576"/>
        <w:jc w:val="left"/>
      </w:pPr>
      <w:r>
        <w:rPr/>
        <w:t xml:space="preserve">(a) After October 1, 2017, for violations associated with buildings greater than seventy-five thousand square feet that took place in calendar year 2016 or later;</w:t>
      </w:r>
    </w:p>
    <w:p>
      <w:pPr>
        <w:spacing w:before="0" w:after="0" w:line="408" w:lineRule="exact"/>
        <w:ind w:left="0" w:right="0" w:firstLine="576"/>
        <w:jc w:val="left"/>
      </w:pPr>
      <w:r>
        <w:rPr/>
        <w:t xml:space="preserve">(b) After April 1, 2018, for violations associated with buildings greater than fifty thousand square feet that took place in calendar year 2017 or later; and</w:t>
      </w:r>
    </w:p>
    <w:p>
      <w:pPr>
        <w:spacing w:before="0" w:after="0" w:line="408" w:lineRule="exact"/>
        <w:ind w:left="0" w:right="0" w:firstLine="576"/>
        <w:jc w:val="left"/>
      </w:pPr>
      <w:r>
        <w:rPr/>
        <w:t xml:space="preserve">(c) After April 1, 2019, for violations associated with buildings greater than twenty thousand square feet that took place in calendar year 2018 or later.</w:t>
      </w:r>
    </w:p>
    <w:p>
      <w:pPr>
        <w:spacing w:before="0" w:after="0" w:line="408" w:lineRule="exact"/>
        <w:ind w:left="0" w:right="0" w:firstLine="576"/>
        <w:jc w:val="left"/>
      </w:pPr>
      <w:r>
        <w:rPr/>
        <w:t xml:space="preserve">(5) A proprietor may appeal any penalties imposed pursuant to this section to the pollution control hearings board pursuant to the procedures established by RCW 43.21B.300.</w:t>
      </w:r>
    </w:p>
    <w:p>
      <w:pPr>
        <w:spacing w:before="0" w:after="0" w:line="408" w:lineRule="exact"/>
        <w:ind w:left="0" w:right="0" w:firstLine="576"/>
        <w:jc w:val="left"/>
      </w:pPr>
      <w:r>
        <w:rPr/>
        <w:t xml:space="preserve">(6) All penalties recovered under this section shall be paid into the state treasury and credited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section 7 of this act,</w:t>
      </w:r>
      <w:r>
        <w:rPr/>
        <w:t xml:space="preserve">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section 7 of this act,</w:t>
      </w:r>
      <w:r>
        <w:rPr/>
        <w:t xml:space="preserve">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June 30, 2019.</w:t>
      </w:r>
    </w:p>
    <w:p/>
    <w:p>
      <w:pPr>
        <w:jc w:val="center"/>
      </w:pPr>
      <w:r>
        <w:rPr>
          <w:b/>
        </w:rPr>
        <w:t>--- END ---</w:t>
      </w:r>
    </w:p>
    <w:sectPr>
      <w:pgNumType w:start="1"/>
      <w:footerReference xmlns:r="http://schemas.openxmlformats.org/officeDocument/2006/relationships" r:id="R2a8108c970244a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8ee3dc00ec41c2" /><Relationship Type="http://schemas.openxmlformats.org/officeDocument/2006/relationships/footer" Target="/word/footer.xml" Id="R2a8108c970244a79" /></Relationships>
</file>