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61afa9e604e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HOUSE BILL 1276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Klippert, Goodman, Hayes, Orwall, Moscoso, Pettigrew, Zeiger, Kilduff, and Fey)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10.21.055, 46.20.385, 46.20.740, 46.20.308, 46.20.750, 46.25.120, 46.61.5055, 46.01.260, 43.43.395, 46.52.130, 9.94A.589, 46.61.503, 46.20.755, 36.28A.320, 36.28A.330, 36.28A.370, 36.28A.390, 10.21.015, 46.61.506, 46.61.508, 46.61.504, and 18.360.030; adding a new section to chapter 46.61 RCW; adding a new section to chapter 18.130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spacing w:before="240" w:after="0" w:line="408" w:lineRule="exact"/>
        <w:ind w:left="0" w:right="0" w:firstLine="576"/>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spacing w:before="0" w:after="0" w:line="408" w:lineRule="exact"/>
        <w:ind w:left="0" w:right="0" w:firstLine="576"/>
        <w:jc w:val="left"/>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t xml:space="preserve"> </w:t>
      </w:r>
      <w:r>
        <w:rPr>
          <w:u w:val="single"/>
        </w:rPr>
        <w:t xml:space="preserve">comply with one of the following four requirements:</w:t>
      </w:r>
    </w:p>
    <w:p>
      <w:pPr>
        <w:spacing w:before="0" w:after="0" w:line="408" w:lineRule="exact"/>
        <w:ind w:left="0" w:right="0" w:firstLine="576"/>
        <w:jc w:val="left"/>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 </w:t>
      </w:r>
      <w:r>
        <w:t>((</w:t>
      </w:r>
      <w:r>
        <w:rPr>
          <w:strike/>
        </w:rPr>
        <w:t xml:space="preserve">(b)</w:t>
      </w:r>
      <w:r>
        <w:t>))</w:t>
      </w:r>
    </w:p>
    <w:p>
      <w:pPr>
        <w:spacing w:before="0" w:after="0" w:line="408" w:lineRule="exact"/>
        <w:ind w:left="0" w:right="0" w:firstLine="576"/>
        <w:jc w:val="left"/>
      </w:pPr>
      <w:r>
        <w:rPr>
          <w:u w:val="single"/>
        </w:rPr>
        <w:t xml:space="preserve">(ii) C</w:t>
      </w:r>
      <w:r>
        <w:rPr/>
        <w:t xml:space="preserve">omply with 24/7 sobriety program monitoring, as defined in RCW 36.28A.330; or </w:t>
      </w:r>
      <w:r>
        <w:t>((</w:t>
      </w:r>
      <w:r>
        <w:rPr>
          <w:strike/>
        </w:rPr>
        <w:t xml:space="preserve">both</w:t>
      </w:r>
      <w:r>
        <w:t>))</w:t>
      </w:r>
    </w:p>
    <w:p>
      <w:pPr>
        <w:spacing w:before="0" w:after="0" w:line="408" w:lineRule="exact"/>
        <w:ind w:left="0" w:right="0" w:firstLine="576"/>
        <w:jc w:val="left"/>
      </w:pPr>
      <w:r>
        <w:rPr>
          <w:u w:val="single"/>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u w:val="single"/>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r>
        <w:rPr/>
        <w:t xml:space="preserve">.</w:t>
      </w:r>
    </w:p>
    <w:p>
      <w:pPr>
        <w:spacing w:before="0" w:after="0" w:line="408" w:lineRule="exact"/>
        <w:ind w:left="0" w:right="0" w:firstLine="576"/>
        <w:jc w:val="left"/>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240" w:after="0" w:line="408" w:lineRule="exact"/>
        <w:ind w:left="0" w:right="0" w:firstLine="576"/>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240" w:after="0" w:line="408" w:lineRule="exact"/>
        <w:ind w:left="0" w:right="0" w:firstLine="576"/>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spacing w:before="0" w:after="0" w:line="408" w:lineRule="exact"/>
        <w:ind w:left="0" w:right="0" w:firstLine="576"/>
        <w:jc w:val="left"/>
      </w:pPr>
      <w:r>
        <w:rPr>
          <w:u w:val="single"/>
        </w:rPr>
        <w:t xml:space="preserve">(3) Any sentence imposed for a violation of subsection (2) of this section shall be served consecutively with any sentence imposed under RCW 46.20.750, 46.61.502, 46.61.504, or 46.61.5055.</w:t>
      </w:r>
    </w:p>
    <w:p>
      <w:pPr>
        <w:spacing w:before="240" w:after="0" w:line="408" w:lineRule="exact"/>
        <w:ind w:left="0" w:right="0" w:firstLine="576"/>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spacing w:before="0" w:after="0" w:line="408" w:lineRule="exact"/>
        <w:ind w:left="0" w:right="0" w:firstLine="576"/>
        <w:jc w:val="left"/>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240" w:after="0" w:line="408" w:lineRule="exact"/>
        <w:ind w:left="0" w:right="0" w:firstLine="576"/>
        <w:jc w:val="center"/>
      </w:pPr>
      <w:r>
        <w:rPr>
          <w:b/>
        </w:rPr>
        <w:t xml:space="preserve">Circumventing ignition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spacing w:before="0" w:after="0" w:line="408" w:lineRule="exact"/>
        <w:ind w:left="0" w:right="0" w:firstLine="576"/>
        <w:jc w:val="left"/>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spacing w:before="0" w:after="0" w:line="408" w:lineRule="exact"/>
        <w:ind w:left="0" w:right="0" w:firstLine="576"/>
        <w:jc w:val="left"/>
      </w:pPr>
      <w:r>
        <w:rPr>
          <w:u w:val="single"/>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u w:val="single"/>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u w:val="single"/>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u w:val="single"/>
        </w:rPr>
        <w:t xml:space="preserve">(3) Any sentence imposed for a violation of subsection (1) of this section shall be served consecutively with any sentence imposed under RCW 46.20.740, 46.61.502, 46.61.504, 46.61.5055, 46.61.520(1)(a), or 46.61.522(1)(b).</w:t>
      </w:r>
    </w:p>
    <w:p>
      <w:pPr>
        <w:spacing w:before="240" w:after="0" w:line="408" w:lineRule="exact"/>
        <w:ind w:left="0" w:right="0" w:firstLine="576"/>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spacing w:before="240" w:after="0" w:line="408" w:lineRule="exact"/>
        <w:ind w:left="0" w:right="0" w:firstLine="576"/>
        <w:jc w:val="center"/>
      </w:pPr>
      <w:r>
        <w:rPr>
          <w:b/>
        </w:rPr>
        <w:t xml:space="preserve">Open container law for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marijuana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marijuana in a container specifically labeled by the manufacturer of the container as containing a nonmarijuana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marijuana is incorrectly labeled and there is a subsequent violation of (a)(i) of this subsection.</w:t>
      </w:r>
    </w:p>
    <w:p>
      <w:pPr>
        <w:spacing w:before="0" w:after="0" w:line="408" w:lineRule="exact"/>
        <w:ind w:left="0" w:right="0" w:firstLine="576"/>
        <w:jc w:val="left"/>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240" w:after="0" w:line="408" w:lineRule="exact"/>
        <w:ind w:left="0" w:right="0" w:firstLine="576"/>
        <w:jc w:val="center"/>
      </w:pPr>
      <w:r>
        <w:rPr>
          <w:b/>
        </w:rPr>
        <w:t xml:space="preserve">Alcohol and drug violators</w:t>
      </w:r>
      <w:r>
        <w:rPr>
          <w:rFonts w:ascii="Times New Roman" w:hAnsi="Times New Roman"/>
          <w:b/>
        </w:rPr>
        <w:t xml:space="preserve">—</w:t>
      </w:r>
      <w:r>
        <w:rPr>
          <w:b/>
        </w:rPr>
        <w:t xml:space="preserve">Penalty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c 265 s 33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w:t>
      </w:r>
      <w:r>
        <w:rPr>
          <w:u w:val="single"/>
        </w:rPr>
        <w:t xml:space="preserve">(2)</w:t>
      </w:r>
      <w:r>
        <w:rPr/>
        <w:t xml:space="preserve"> or an equivalent local ordinance;</w:t>
      </w:r>
    </w:p>
    <w:p>
      <w:pPr>
        <w:spacing w:before="0" w:after="0" w:line="408" w:lineRule="exact"/>
        <w:ind w:left="0" w:right="0" w:firstLine="576"/>
        <w:jc w:val="left"/>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spacing w:before="0" w:after="0" w:line="408" w:lineRule="exact"/>
        <w:ind w:left="0" w:right="0" w:firstLine="576"/>
        <w:jc w:val="left"/>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u w:val="single"/>
        </w:rPr>
        <w:t xml:space="preserve">(viii)</w:t>
      </w:r>
      <w:r>
        <w:rPr/>
        <w:t xml:space="preserve"> A conviction for a violation of RCW 46.09.470(2) or an equivalent local ordinance;</w:t>
      </w:r>
    </w:p>
    <w:p>
      <w:pPr>
        <w:spacing w:before="0" w:after="0" w:line="408" w:lineRule="exact"/>
        <w:ind w:left="0" w:right="0" w:firstLine="576"/>
        <w:jc w:val="left"/>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spacing w:before="0" w:after="0" w:line="408" w:lineRule="exact"/>
        <w:ind w:left="0" w:right="0" w:firstLine="576"/>
        <w:jc w:val="left"/>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spacing w:before="0" w:after="0" w:line="408" w:lineRule="exact"/>
        <w:ind w:left="0" w:right="0" w:firstLine="576"/>
        <w:jc w:val="left"/>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spacing w:before="0" w:after="0" w:line="408" w:lineRule="exact"/>
        <w:ind w:left="0" w:right="0" w:firstLine="576"/>
        <w:jc w:val="left"/>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spacing w:before="0" w:after="0" w:line="408" w:lineRule="exact"/>
        <w:ind w:left="0" w:right="0" w:firstLine="576"/>
        <w:jc w:val="left"/>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t xml:space="preserve">(c) For purposes of RCW 46.52.101 and 46.52.130, offenses subject to this subsection shall be considered "alcohol-related" offenses.</w:t>
      </w:r>
    </w:p>
    <w:p>
      <w:pPr>
        <w:spacing w:before="240" w:after="0" w:line="408" w:lineRule="exact"/>
        <w:ind w:left="0" w:right="0" w:firstLine="576"/>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r>
        <w:rPr>
          <w:u w:val="single"/>
        </w:rPr>
        <w:t xml:space="preserve">:</w:t>
      </w:r>
    </w:p>
    <w:p>
      <w:pPr>
        <w:spacing w:before="0" w:after="0" w:line="408" w:lineRule="exact"/>
        <w:ind w:left="0" w:right="0" w:firstLine="576"/>
        <w:jc w:val="left"/>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spacing w:before="0" w:after="0" w:line="408" w:lineRule="exact"/>
        <w:ind w:left="0" w:right="0" w:firstLine="576"/>
        <w:jc w:val="left"/>
      </w:pPr>
      <w:r>
        <w:rPr>
          <w:strike/>
        </w:rPr>
        <w:t xml:space="preserve">(b) When reasonably available in the area, as determined by the state patrol, an ignition interlock device must employ</w:t>
      </w:r>
      <w:r>
        <w:t>))</w:t>
      </w:r>
      <w:r>
        <w:rPr>
          <w:u w:val="single"/>
        </w:rPr>
        <w:t xml:space="preserve">;</w:t>
      </w:r>
    </w:p>
    <w:p>
      <w:pPr>
        <w:spacing w:before="0" w:after="0" w:line="408" w:lineRule="exact"/>
        <w:ind w:left="0" w:right="0" w:firstLine="576"/>
        <w:jc w:val="left"/>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spacing w:before="0" w:after="0" w:line="408" w:lineRule="exact"/>
        <w:ind w:left="0" w:right="0" w:firstLine="576"/>
        <w:jc w:val="left"/>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240" w:after="0" w:line="408" w:lineRule="exact"/>
        <w:ind w:left="0" w:right="0" w:firstLine="576"/>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c 265 s 4 are each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(6)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u w:val="single"/>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spacing w:before="0" w:after="0" w:line="408" w:lineRule="exact"/>
        <w:ind w:left="0" w:right="0" w:firstLine="576"/>
        <w:jc w:val="left"/>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spacing w:before="0" w:after="0" w:line="408" w:lineRule="exact"/>
        <w:ind w:left="0" w:right="0" w:firstLine="576"/>
        <w:jc w:val="left"/>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spacing w:before="0" w:after="0" w:line="408" w:lineRule="exact"/>
        <w:ind w:left="0" w:right="0" w:firstLine="576"/>
        <w:jc w:val="left"/>
      </w:pPr>
      <w:r>
        <w:rPr/>
        <w:t xml:space="preserve">The definitions in this section apply throughout RCW 36.28A.300 through 36.28A.390 unless the context clearly requires otherwise.</w:t>
      </w:r>
    </w:p>
    <w:p>
      <w:pPr>
        <w:spacing w:before="0" w:after="0" w:line="408" w:lineRule="exact"/>
        <w:ind w:left="0" w:right="0" w:firstLine="576"/>
        <w:jc w:val="left"/>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spacing w:before="0" w:after="0" w:line="408" w:lineRule="exact"/>
        <w:ind w:left="0" w:right="0" w:firstLine="576"/>
        <w:jc w:val="left"/>
      </w:pPr>
      <w:r>
        <w:rPr/>
        <w:t xml:space="preserve">(2) "Participant" means a person who has </w:t>
      </w:r>
      <w:r>
        <w:t>((</w:t>
      </w:r>
      <w:r>
        <w:rPr>
          <w:strike/>
        </w:rPr>
        <w:t xml:space="preserve">one or more prior convictions for</w:t>
      </w:r>
      <w:r>
        <w:t>))</w:t>
      </w:r>
      <w:r>
        <w:rPr/>
        <w:t xml:space="preserve"> </w:t>
      </w:r>
      <w:r>
        <w:rPr>
          <w:u w:val="single"/>
        </w:rPr>
        <w:t xml:space="preserve">been charged with or convicted of</w:t>
      </w:r>
      <w:r>
        <w:rPr/>
        <w:t xml:space="preserve"> a violation of RCW 46.61.502 </w:t>
      </w:r>
      <w:r>
        <w:t>((</w:t>
      </w:r>
      <w:r>
        <w:rPr>
          <w:strike/>
        </w:rPr>
        <w:t xml:space="preserve">or</w:t>
      </w:r>
      <w:r>
        <w:t>))</w:t>
      </w:r>
      <w:r>
        <w:rPr>
          <w:u w:val="single"/>
        </w:rPr>
        <w:t xml:space="preserve">,</w:t>
      </w:r>
      <w:r>
        <w:rPr/>
        <w:t xml:space="preserve"> 46.61.504</w:t>
      </w:r>
      <w:r>
        <w:rPr>
          <w:u w:val="single"/>
        </w:rPr>
        <w:t xml:space="preserve">, or those crimes listed in RCW 46.61.5055(14), in which the use of alcohol or drugs as defined in RCW 46.61.540 was a contributing factor in the commission of the crime</w:t>
      </w:r>
      <w:r>
        <w:rPr/>
        <w:t xml:space="preserve"> and who has been ordered by a court to participate in the 24/7 sobriety program.</w:t>
      </w:r>
    </w:p>
    <w:p>
      <w:pPr>
        <w:spacing w:before="0" w:after="0" w:line="408" w:lineRule="exact"/>
        <w:ind w:left="0" w:right="0" w:firstLine="576"/>
        <w:jc w:val="left"/>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spacing w:before="0" w:after="0" w:line="408" w:lineRule="exact"/>
        <w:ind w:left="0" w:right="0" w:firstLine="576"/>
        <w:jc w:val="left"/>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spacing w:before="0" w:after="0" w:line="408" w:lineRule="exact"/>
        <w:ind w:left="0" w:right="0" w:firstLine="576"/>
        <w:jc w:val="left"/>
      </w:pPr>
      <w:r>
        <w:rPr/>
        <w:t xml:space="preserve">(a) The type, frequency, and time period of testing;</w:t>
      </w:r>
    </w:p>
    <w:p>
      <w:pPr>
        <w:spacing w:before="0" w:after="0" w:line="408" w:lineRule="exact"/>
        <w:ind w:left="0" w:right="0" w:firstLine="576"/>
        <w:jc w:val="left"/>
      </w:pPr>
      <w:r>
        <w:rPr/>
        <w:t xml:space="preserve">(b) The location of testing;</w:t>
      </w:r>
    </w:p>
    <w:p>
      <w:pPr>
        <w:spacing w:before="0" w:after="0" w:line="408" w:lineRule="exact"/>
        <w:ind w:left="0" w:right="0" w:firstLine="576"/>
        <w:jc w:val="left"/>
      </w:pPr>
      <w:r>
        <w:rPr/>
        <w:t xml:space="preserve">(c) The fees and payment procedures required for testing; and</w:t>
      </w:r>
    </w:p>
    <w:p>
      <w:pPr>
        <w:spacing w:before="0" w:after="0" w:line="408" w:lineRule="exact"/>
        <w:ind w:left="0" w:right="0" w:firstLine="576"/>
        <w:jc w:val="left"/>
      </w:pPr>
      <w:r>
        <w:rPr/>
        <w:t xml:space="preserve">(d) The responsibilities and obligations of the participant under the 24/7 sobriety program.</w:t>
      </w:r>
    </w:p>
    <w:p>
      <w:pPr>
        <w:spacing w:before="0" w:after="0" w:line="408" w:lineRule="exact"/>
        <w:ind w:left="0" w:right="0" w:firstLine="576"/>
        <w:jc w:val="left"/>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spacing w:before="0" w:after="0" w:line="408" w:lineRule="exact"/>
        <w:ind w:left="0" w:right="0" w:firstLine="576"/>
        <w:jc w:val="left"/>
      </w:pPr>
      <w:r>
        <w:rPr/>
        <w:t xml:space="preserve">(1) </w:t>
      </w:r>
      <w:r>
        <w:t>((</w:t>
      </w:r>
      <w:r>
        <w:rPr>
          <w:strike/>
        </w:rPr>
        <w:t xml:space="preserve">Funds in the 24/7 sobriety account shall be distributed as follows:</w:t>
      </w:r>
    </w:p>
    <w:p>
      <w:pPr>
        <w:spacing w:before="0" w:after="0" w:line="408" w:lineRule="exact"/>
        <w:ind w:left="0" w:right="0" w:firstLine="576"/>
        <w:jc w:val="left"/>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spacing w:before="0" w:after="0" w:line="408" w:lineRule="exact"/>
        <w:ind w:left="0" w:right="0" w:firstLine="576"/>
        <w:jc w:val="left"/>
      </w:pPr>
      <w:r>
        <w:rPr>
          <w:u w:val="single"/>
        </w:rPr>
        <w:t xml:space="preserve">(4) A city or county may accept donations, gifts, grants, and other assistance to defray the participating agency's costs of the 24/7 sobriety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spacing w:before="0" w:after="0" w:line="408" w:lineRule="exact"/>
        <w:ind w:left="0" w:right="0" w:firstLine="576"/>
        <w:jc w:val="left"/>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spacing w:before="0" w:after="0" w:line="408" w:lineRule="exact"/>
        <w:ind w:left="0" w:right="0" w:firstLine="576"/>
        <w:jc w:val="left"/>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spacing w:before="0" w:after="0" w:line="408" w:lineRule="exact"/>
        <w:ind w:left="0" w:right="0" w:firstLine="576"/>
        <w:jc w:val="left"/>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spacing w:before="0" w:after="0" w:line="408" w:lineRule="exact"/>
        <w:ind w:left="0" w:right="0" w:firstLine="576"/>
        <w:jc w:val="left"/>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spacing w:before="0" w:after="0" w:line="408" w:lineRule="exact"/>
        <w:ind w:left="0" w:right="0" w:firstLine="576"/>
        <w:jc w:val="left"/>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spacing w:before="0" w:after="0" w:line="408" w:lineRule="exact"/>
        <w:ind w:left="0" w:right="0" w:firstLine="576"/>
        <w:jc w:val="left"/>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spacing w:before="0" w:after="0" w:line="408" w:lineRule="exact"/>
        <w:ind w:left="0" w:right="0" w:firstLine="576"/>
        <w:jc w:val="left"/>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w:t>
      </w:r>
      <w:r>
        <w:t>((</w:t>
      </w:r>
      <w:r>
        <w:rPr>
          <w:strike/>
        </w:rPr>
        <w:t xml:space="preserve">,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w:t>
      </w:r>
      <w:r>
        <w:t>))</w:t>
      </w:r>
      <w:r>
        <w:rPr/>
        <w:t xml:space="preserve"> </w:t>
      </w:r>
      <w:r>
        <w:rPr>
          <w:u w:val="single"/>
        </w:rPr>
        <w:t xml:space="preserve">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w:t>
      </w:r>
      <w:r>
        <w:rPr/>
        <w:t xml:space="preserve">. This limitation shall not apply to the taking of breath specimens.</w:t>
      </w:r>
    </w:p>
    <w:p>
      <w:pPr>
        <w:spacing w:before="0" w:after="0" w:line="408" w:lineRule="exact"/>
        <w:ind w:left="0" w:right="0" w:firstLine="576"/>
        <w:jc w:val="left"/>
      </w:pPr>
      <w:r>
        <w:rPr/>
        <w:t xml:space="preserve">(6) The person tested may have a </w:t>
      </w:r>
      <w:r>
        <w:t>((</w:t>
      </w:r>
      <w:r>
        <w:rPr>
          <w:strike/>
        </w:rPr>
        <w:t xml:space="preserve">physician</w:t>
      </w:r>
      <w:r>
        <w:t>))</w:t>
      </w:r>
      <w:r>
        <w:rPr/>
        <w:t xml:space="preserve"> </w:t>
      </w:r>
      <w:r>
        <w:rPr>
          <w:u w:val="single"/>
        </w:rPr>
        <w:t xml:space="preserve">licensed or certified health care provider listed in subsection (5) of this section</w:t>
      </w:r>
      <w:r>
        <w:rPr/>
        <w:t xml:space="preserve">, or a qualified technician, chemist, </w:t>
      </w:r>
      <w:r>
        <w:t>((</w:t>
      </w:r>
      <w:r>
        <w:rPr>
          <w:strike/>
        </w:rPr>
        <w:t xml:space="preserve">registered nurse,</w:t>
      </w:r>
      <w:r>
        <w:t>))</w:t>
      </w:r>
      <w:r>
        <w:rPr/>
        <w:t xml:space="preserv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spacing w:before="0" w:after="0" w:line="408" w:lineRule="exact"/>
        <w:ind w:left="0" w:right="0" w:firstLine="576"/>
        <w:jc w:val="left"/>
      </w:pPr>
      <w:r>
        <w:rPr/>
        <w:t xml:space="preserve">No physician</w:t>
      </w:r>
      <w:r>
        <w:t>((</w:t>
      </w:r>
      <w:r>
        <w:rPr>
          <w:strike/>
        </w:rPr>
        <w:t xml:space="preserve">, registered nurse, qualified technician</w:t>
      </w:r>
      <w:r>
        <w:t>))</w:t>
      </w:r>
      <w:r>
        <w:rPr/>
        <w:t xml:space="preserve"> </w:t>
      </w:r>
      <w:r>
        <w:rPr>
          <w:u w:val="single"/>
        </w:rPr>
        <w:t xml:space="preserve">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rPr/>
        <w:t xml:space="preserve">, or hospital, or duly licensed clinical laboratory employing or utilizing services of such </w:t>
      </w:r>
      <w:r>
        <w:t>((</w:t>
      </w:r>
      <w:r>
        <w:rPr>
          <w:strike/>
        </w:rPr>
        <w:t xml:space="preserve">physician, registered nurse, or qualified technician</w:t>
      </w:r>
      <w:r>
        <w:t>))</w:t>
      </w:r>
      <w:r>
        <w:rPr/>
        <w:t xml:space="preserve"> </w:t>
      </w:r>
      <w:r>
        <w:rPr>
          <w:u w:val="single"/>
        </w:rPr>
        <w:t xml:space="preserve">licensed or certified health care provider</w:t>
      </w:r>
      <w:r>
        <w:rPr/>
        <w:t xml:space="preserve">,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any other authority of law, or</w:t>
      </w:r>
      <w:r>
        <w:rPr/>
        <w:t xml:space="preserve"> RCW 46.20.308, as now or hereafter amended: PROVIDED, That nothing in this section shall relieve </w:t>
      </w:r>
      <w:r>
        <w:t>((</w:t>
      </w:r>
      <w:r>
        <w:rPr>
          <w:strike/>
        </w:rPr>
        <w:t xml:space="preserve">any physician, registered nurse, qualified technician</w:t>
      </w:r>
      <w:r>
        <w:t>))</w:t>
      </w:r>
      <w:r>
        <w:rPr/>
        <w:t xml:space="preserve"> </w:t>
      </w:r>
      <w:r>
        <w:rPr>
          <w:u w:val="single"/>
        </w:rPr>
        <w:t xml:space="preserve">such licensed or certified health care provider</w:t>
      </w:r>
      <w:r>
        <w:rPr/>
        <w:t xml:space="preserve">, or hospital or duly licensed clinical laboratory from civil liability arising from the use of improper procedures or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and medical assistant-phlebotomist.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0" w:after="0" w:line="408" w:lineRule="exact"/>
        <w:ind w:left="0" w:right="0" w:firstLine="576"/>
        <w:jc w:val="left"/>
      </w:pPr>
      <w:r>
        <w:rPr>
          <w:u w:val="single"/>
        </w:rPr>
        <w:t xml:space="preserve">(4)(a) The secretary shall adopt rules specifying requirements for delegation, training, and supervision for a medical assistant-phlebotomist who is also a local, state, federal, or tribal law enforcement employee or correctional employee, and whose practice is limited to collecting venipuncture blood samples for forensic testing under the provisions of RCW 46.20.308 or pursuant to a search warrant, a valid waiver of the warrant requirement, when exigent circumstances exist, or under any other authority of law. The rules shall provide standards for the minimum number of venipuncture collections necessary to maintain endorsement for collecting blood samples for forensic testing. The rules shall provide standards for location, conditions, and supervision of venipuncture collections.</w:t>
      </w:r>
    </w:p>
    <w:p>
      <w:pPr>
        <w:spacing w:before="0" w:after="0" w:line="408" w:lineRule="exact"/>
        <w:ind w:left="0" w:right="0" w:firstLine="576"/>
        <w:jc w:val="left"/>
      </w:pPr>
      <w:r>
        <w:rPr>
          <w:u w:val="single"/>
        </w:rPr>
        <w:t xml:space="preserve">(b) Until July 1, 2020, pursuant to (a) of this subsection, the rules shall include, but are not limited to:</w:t>
      </w:r>
    </w:p>
    <w:p>
      <w:pPr>
        <w:spacing w:before="0" w:after="0" w:line="408" w:lineRule="exact"/>
        <w:ind w:left="0" w:right="0" w:firstLine="576"/>
        <w:jc w:val="left"/>
      </w:pPr>
      <w:r>
        <w:rPr>
          <w:u w:val="single"/>
        </w:rPr>
        <w:t xml:space="preserve">(i) Requiring each medical assistant-phlebotomist to perform fifty venipuncture collections during the first year of certification;</w:t>
      </w:r>
    </w:p>
    <w:p>
      <w:pPr>
        <w:spacing w:before="0" w:after="0" w:line="408" w:lineRule="exact"/>
        <w:ind w:left="0" w:right="0" w:firstLine="576"/>
        <w:jc w:val="left"/>
      </w:pPr>
      <w:r>
        <w:rPr>
          <w:u w:val="single"/>
        </w:rPr>
        <w:t xml:space="preserve">(ii) Requiring mandatory annual ongoing training in order for such person to maintain certification as a medical assistant-phlebotomist; and</w:t>
      </w:r>
    </w:p>
    <w:p>
      <w:pPr>
        <w:spacing w:before="0" w:after="0" w:line="408" w:lineRule="exact"/>
        <w:ind w:left="0" w:right="0" w:firstLine="576"/>
        <w:jc w:val="left"/>
      </w:pPr>
      <w:r>
        <w:rPr>
          <w:u w:val="single"/>
        </w:rPr>
        <w:t xml:space="preserve">(iii) Requiring that any venipuncture blood samples collected for forensic testing take place at a site that provides for antiseptic techniques and that all such sites are inspected annually by the department.</w:t>
      </w:r>
    </w:p>
    <w:p/>
    <w:p>
      <w:pPr>
        <w:jc w:val="center"/>
      </w:pPr>
      <w:r>
        <w:rPr>
          <w:b/>
        </w:rPr>
        <w:t>--- END ---</w:t>
      </w:r>
    </w:p>
    <w:sectPr>
      <w:pgNumType w:start="1"/>
      <w:footerReference xmlns:r="http://schemas.openxmlformats.org/officeDocument/2006/relationships" r:id="R3839e572c3ad4a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3030d49974c43" /><Relationship Type="http://schemas.openxmlformats.org/officeDocument/2006/relationships/footer" Target="/word/footer.xml" Id="R3839e572c3ad4aab" /></Relationships>
</file>