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a47f8192d4c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Klippert, Goodman, Hayes, Orwall, Moscoso, Pettigrew, Zeiger, Kilduff, and Fey)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10.21.055, 46.20.385, 46.20.740, 46.20.308, 46.20.750, 46.25.120, 46.61.140, 46.61.5055, 46.01.260, 43.43.395, 9.94A.589, 46.61.504, 46.61.503, 46.20.755, 36.28A.300, 36.28A.320, 36.28A.330, 36.28A.370, 36.28A.390, 10.21.015, and 10.21.030; reenacting and amending RCW 46.52.130; adding a new section to chapter 46.61 RCW; repealing RCW 36.28A.310; and prescribing penalties.</w:t>
      </w:r>
    </w:p>
    <w:p>
      <w:r>
        <w:t/>
      </w:r>
    </w:p>
    <w:p>
      <w:r>
        <w:t>BE IT ENACTED BY THE LEGISLATURE OF THE STATE OF WASHINGTON:</w:t>
      </w:r>
    </w:p>
    <w:p>
      <w:pPr>
        <w:spacing w:before="240" w:after="0" w:line="408" w:lineRule="exact"/>
        <w:ind w:left="0" w:right="0" w:firstLine="576"/>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spacing w:before="0" w:after="0" w:line="408" w:lineRule="exact"/>
        <w:ind w:left="0" w:right="0" w:firstLine="576"/>
        <w:jc w:val="left"/>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w:t>
      </w:r>
    </w:p>
    <w:p>
      <w:pPr>
        <w:spacing w:before="0" w:after="0" w:line="408" w:lineRule="exact"/>
        <w:ind w:left="0" w:right="0" w:firstLine="576"/>
        <w:jc w:val="left"/>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w:t>
      </w:r>
      <w:r>
        <w:t>((</w:t>
      </w:r>
      <w:r>
        <w:rPr>
          <w:strike/>
        </w:rPr>
        <w:t xml:space="preserve">or (b)</w:t>
      </w:r>
      <w:r>
        <w:t>))</w:t>
      </w:r>
    </w:p>
    <w:p>
      <w:pPr>
        <w:spacing w:before="0" w:after="0" w:line="408" w:lineRule="exact"/>
        <w:ind w:left="0" w:right="0" w:firstLine="576"/>
        <w:jc w:val="left"/>
      </w:pPr>
      <w:r>
        <w:rPr>
          <w:u w:val="single"/>
        </w:rPr>
        <w:t xml:space="preserve">(ii) C</w:t>
      </w:r>
      <w:r>
        <w:rPr/>
        <w:t xml:space="preserve">omply with 24/7 sobriety program monitoring, as defined in RCW 36.28A.330; </w:t>
      </w:r>
      <w:r>
        <w:t>((</w:t>
      </w:r>
      <w:r>
        <w:rPr>
          <w:strike/>
        </w:rPr>
        <w:t xml:space="preserve">or both</w:t>
      </w:r>
      <w:r>
        <w:t>))</w:t>
      </w:r>
    </w:p>
    <w:p>
      <w:pPr>
        <w:spacing w:before="0" w:after="0" w:line="408" w:lineRule="exact"/>
        <w:ind w:left="0" w:right="0" w:firstLine="576"/>
        <w:jc w:val="left"/>
      </w:pPr>
      <w:r>
        <w:rPr>
          <w:u w:val="single"/>
        </w:rPr>
        <w:t xml:space="preserve">(iii) Have an ignition interlock device pursuant to (a)(i) of this subsection and comply with 24/7 sobriety program monitoring pursuant to (a)(ii) of this subsection; or</w:t>
      </w:r>
    </w:p>
    <w:p>
      <w:pPr>
        <w:spacing w:before="0" w:after="0" w:line="408" w:lineRule="exact"/>
        <w:ind w:left="0" w:right="0" w:firstLine="576"/>
        <w:jc w:val="left"/>
      </w:pPr>
      <w:r>
        <w:rPr>
          <w:u w:val="single"/>
        </w:rPr>
        <w:t xml:space="preserve">(iv) Have an ignition interlock pursuant to (a)(i) of this subsection, file a sworn statement with the court upon release at arraignment that states the person agrees not to operate any motor vehicle while the ignition interlock restriction is imposed by the court, and submit to alcohol monitoring as outlined in RCW 46.61.5055(5)(b)</w:t>
      </w:r>
      <w:r>
        <w:rPr/>
        <w:t xml:space="preserve">.</w:t>
      </w:r>
    </w:p>
    <w:p>
      <w:pPr>
        <w:spacing w:before="0" w:after="0" w:line="408" w:lineRule="exact"/>
        <w:ind w:left="0" w:right="0" w:firstLine="576"/>
        <w:jc w:val="left"/>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u w:val="single"/>
        </w:rPr>
        <w:t xml:space="preserve">(c) Pursuant to (a)(iv) of this subsection, the person ordered to install the ignition interlock pursuant to (a) of this subsection satisfies the requirement to install an ignition interlock by filing a sworn statement with the court at arraignment,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spacing w:before="0" w:after="0" w:line="408" w:lineRule="exact"/>
        <w:ind w:left="0" w:right="0" w:firstLine="576"/>
        <w:jc w:val="left"/>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240" w:after="0" w:line="408" w:lineRule="exact"/>
        <w:ind w:left="0" w:right="0" w:firstLine="576"/>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240" w:after="0" w:line="408" w:lineRule="exact"/>
        <w:ind w:left="0" w:right="0" w:firstLine="576"/>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spacing w:before="0" w:after="0" w:line="408" w:lineRule="exact"/>
        <w:ind w:left="0" w:right="0" w:firstLine="576"/>
        <w:jc w:val="left"/>
      </w:pPr>
      <w:r>
        <w:rPr>
          <w:u w:val="single"/>
        </w:rPr>
        <w:t xml:space="preserve">(3) Any sentence imposed for a violation of subsection (2) of this section shall be served consecutively with any sentence imposed under RCW 46.20.750, 46.61.502, 46.61.504, or 46.61.5055.</w:t>
      </w:r>
    </w:p>
    <w:p>
      <w:pPr>
        <w:spacing w:before="240" w:after="0" w:line="408" w:lineRule="exact"/>
        <w:ind w:left="0" w:right="0" w:firstLine="576"/>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spacing w:before="0" w:after="0" w:line="408" w:lineRule="exact"/>
        <w:ind w:left="0" w:right="0" w:firstLine="576"/>
        <w:jc w:val="left"/>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shall have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240" w:after="0" w:line="408" w:lineRule="exact"/>
        <w:ind w:left="0" w:right="0" w:firstLine="576"/>
        <w:jc w:val="center"/>
      </w:pPr>
      <w:r>
        <w:rPr>
          <w:b/>
        </w:rPr>
        <w:t xml:space="preserve">Circumventing ignition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spacing w:before="0" w:after="0" w:line="408" w:lineRule="exact"/>
        <w:ind w:left="0" w:right="0" w:firstLine="576"/>
        <w:jc w:val="left"/>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spacing w:before="0" w:after="0" w:line="408" w:lineRule="exact"/>
        <w:ind w:left="0" w:right="0" w:firstLine="576"/>
        <w:jc w:val="left"/>
      </w:pPr>
      <w:r>
        <w:rPr>
          <w:u w:val="single"/>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u w:val="single"/>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u w:val="single"/>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u w:val="single"/>
        </w:rPr>
        <w:t xml:space="preserve">(3) Any sentence imposed for a violation of subsection (1) of this section shall be served consecutively with any sentence imposed under RCW 46.20.740, 46.61.502, 46.61.504, 46.61.5055, 46.61.520(1)(a), or 46.61.522(1)(b).</w:t>
      </w:r>
    </w:p>
    <w:p>
      <w:pPr>
        <w:spacing w:before="240" w:after="0" w:line="408" w:lineRule="exact"/>
        <w:ind w:left="0" w:right="0" w:firstLine="576"/>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spacing w:before="240" w:after="0" w:line="408" w:lineRule="exact"/>
        <w:ind w:left="0" w:right="0" w:firstLine="576"/>
        <w:jc w:val="center"/>
      </w:pPr>
      <w:r>
        <w:rPr>
          <w:b/>
        </w:rPr>
        <w:t xml:space="preserve">Open container law for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marijuana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marijuana in a container specifically labeled by the manufacturer of the container as containing a nonmarijuana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marijuana is incorrectly labeled and there is a subsequent violation of (a)(i) of this subsection.</w:t>
      </w:r>
    </w:p>
    <w:p>
      <w:pPr>
        <w:spacing w:before="0" w:after="0" w:line="408" w:lineRule="exact"/>
        <w:ind w:left="0" w:right="0" w:firstLine="576"/>
        <w:jc w:val="left"/>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240" w:after="0" w:line="408" w:lineRule="exact"/>
        <w:ind w:left="0" w:right="0" w:firstLine="576"/>
        <w:jc w:val="center"/>
      </w:pPr>
      <w:r>
        <w:rPr>
          <w:b/>
        </w:rPr>
        <w:t xml:space="preserve">Driving on roadways laned for traffic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w:t>
      </w:r>
      <w:r>
        <w:t>((</w:t>
      </w:r>
      <w:r>
        <w:rPr>
          <w:strike/>
        </w:rPr>
        <w:t xml:space="preserve">as nearly as practicable</w:t>
      </w:r>
      <w:r>
        <w:t>))</w:t>
      </w:r>
      <w:r>
        <w:rPr/>
        <w:t xml:space="preserv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It is an affirmative defense to a violation of this section, which the driver must establish by a preponderance of the evidence, that the vehicle crossed into another lane as a result of an act, omission, or occurrence outside of the driver's immediate control and only to the minimum extent reasonably necessary under the circumstances.</w:t>
      </w:r>
    </w:p>
    <w:p>
      <w:pPr>
        <w:spacing w:before="240" w:after="0" w:line="408" w:lineRule="exact"/>
        <w:ind w:left="0" w:right="0" w:firstLine="576"/>
        <w:jc w:val="center"/>
      </w:pPr>
      <w:r>
        <w:rPr>
          <w:b/>
        </w:rPr>
        <w:t xml:space="preserve">Alcohol and drug violators</w:t>
      </w:r>
      <w:r>
        <w:rPr>
          <w:rFonts w:ascii="Times New Roman" w:hAnsi="Times New Roman"/>
          <w:b/>
        </w:rPr>
        <w:t xml:space="preserve">—</w:t>
      </w:r>
      <w:r>
        <w:rPr>
          <w:b/>
        </w:rPr>
        <w:t xml:space="preserve">Penalty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w:t>
      </w:r>
      <w:r>
        <w:rPr>
          <w:u w:val="single"/>
        </w:rPr>
        <w:t xml:space="preserve">(2)</w:t>
      </w:r>
      <w:r>
        <w:rPr/>
        <w:t xml:space="preserve"> or an equivalent local ordinance;</w:t>
      </w:r>
    </w:p>
    <w:p>
      <w:pPr>
        <w:spacing w:before="0" w:after="0" w:line="408" w:lineRule="exact"/>
        <w:ind w:left="0" w:right="0" w:firstLine="576"/>
        <w:jc w:val="left"/>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spacing w:before="0" w:after="0" w:line="408" w:lineRule="exact"/>
        <w:ind w:left="0" w:right="0" w:firstLine="576"/>
        <w:jc w:val="left"/>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u w:val="single"/>
        </w:rPr>
        <w:t xml:space="preserve">(viii)</w:t>
      </w:r>
      <w:r>
        <w:rPr/>
        <w:t xml:space="preserve"> A conviction for a violation of RCW 46.09.470(2) or an equivalent local ordinance;</w:t>
      </w:r>
    </w:p>
    <w:p>
      <w:pPr>
        <w:spacing w:before="0" w:after="0" w:line="408" w:lineRule="exact"/>
        <w:ind w:left="0" w:right="0" w:firstLine="576"/>
        <w:jc w:val="left"/>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spacing w:before="0" w:after="0" w:line="408" w:lineRule="exact"/>
        <w:ind w:left="0" w:right="0" w:firstLine="576"/>
        <w:jc w:val="left"/>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spacing w:before="0" w:after="0" w:line="408" w:lineRule="exact"/>
        <w:ind w:left="0" w:right="0" w:firstLine="576"/>
        <w:jc w:val="left"/>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spacing w:before="0" w:after="0" w:line="408" w:lineRule="exact"/>
        <w:ind w:left="0" w:right="0" w:firstLine="576"/>
        <w:jc w:val="left"/>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spacing w:before="0" w:after="0" w:line="408" w:lineRule="exact"/>
        <w:ind w:left="0" w:right="0" w:firstLine="576"/>
        <w:jc w:val="left"/>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t xml:space="preserve">(c) For purposes of RCW 46.52.101 and 46.52.130, offenses subject to this subsection shall be considered "alcohol-related" offenses.</w:t>
      </w:r>
    </w:p>
    <w:p>
      <w:pPr>
        <w:spacing w:before="240" w:after="0" w:line="408" w:lineRule="exact"/>
        <w:ind w:left="0" w:right="0" w:firstLine="576"/>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r>
        <w:rPr>
          <w:u w:val="single"/>
        </w:rPr>
        <w:t xml:space="preserve">:</w:t>
      </w:r>
    </w:p>
    <w:p>
      <w:pPr>
        <w:spacing w:before="0" w:after="0" w:line="408" w:lineRule="exact"/>
        <w:ind w:left="0" w:right="0" w:firstLine="576"/>
        <w:jc w:val="left"/>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spacing w:before="0" w:after="0" w:line="408" w:lineRule="exact"/>
        <w:ind w:left="0" w:right="0" w:firstLine="576"/>
        <w:jc w:val="left"/>
      </w:pPr>
      <w:r>
        <w:rPr>
          <w:strike/>
        </w:rPr>
        <w:t xml:space="preserve">(b) When reasonably available in the area, as determined by the state patrol, an ignition interlock device must employ</w:t>
      </w:r>
      <w:r>
        <w:t>))</w:t>
      </w:r>
      <w:r>
        <w:rPr>
          <w:u w:val="single"/>
        </w:rPr>
        <w:t xml:space="preserve">;</w:t>
      </w:r>
    </w:p>
    <w:p>
      <w:pPr>
        <w:spacing w:before="0" w:after="0" w:line="408" w:lineRule="exact"/>
        <w:ind w:left="0" w:right="0" w:firstLine="576"/>
        <w:jc w:val="left"/>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spacing w:before="0" w:after="0" w:line="408" w:lineRule="exact"/>
        <w:ind w:left="0" w:right="0" w:firstLine="576"/>
        <w:jc w:val="left"/>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240" w:after="0" w:line="408" w:lineRule="exact"/>
        <w:ind w:left="0" w:right="0" w:firstLine="576"/>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u w:val="single"/>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spacing w:before="0" w:after="0" w:line="408" w:lineRule="exact"/>
        <w:ind w:left="0" w:right="0" w:firstLine="576"/>
        <w:jc w:val="left"/>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300</w:t>
      </w:r>
      <w:r>
        <w:rPr/>
        <w:t xml:space="preserve"> and 2014 c 221 s 912 are each amended to read as follows:</w:t>
      </w:r>
    </w:p>
    <w:p>
      <w:pPr>
        <w:spacing w:before="0" w:after="0" w:line="408" w:lineRule="exact"/>
        <w:ind w:left="0" w:right="0" w:firstLine="576"/>
        <w:jc w:val="left"/>
      </w:pPr>
      <w:r>
        <w:t>((</w:t>
      </w:r>
      <w:r>
        <w:rPr>
          <w:strike/>
        </w:rPr>
        <w:t xml:space="preserve">There is created</w:t>
      </w:r>
      <w:r>
        <w:t>))</w:t>
      </w:r>
      <w:r>
        <w:rPr/>
        <w:t xml:space="preserve"> </w:t>
      </w:r>
      <w:r>
        <w:rPr>
          <w:u w:val="single"/>
        </w:rPr>
        <w:t xml:space="preserve">When funded, the Washington association of sheriffs and police chiefs shall administer</w:t>
      </w:r>
      <w:r>
        <w:rPr/>
        <w:t xml:space="preserve"> a 24/7 sobriety program </w:t>
      </w:r>
      <w:r>
        <w:t>((</w:t>
      </w:r>
      <w:r>
        <w:rPr>
          <w:strike/>
        </w:rPr>
        <w:t xml:space="preserve">to be administered by the criminal justice training commission in conjunction with</w:t>
      </w:r>
      <w:r>
        <w:t>))</w:t>
      </w:r>
      <w:r>
        <w:rPr>
          <w:u w:val="single"/>
        </w:rPr>
        <w:t xml:space="preserve">. T</w:t>
      </w:r>
      <w:r>
        <w:rPr/>
        <w:t xml:space="preserve">he Washington association of sheriffs and police chiefs</w:t>
      </w:r>
      <w:r>
        <w:t>((</w:t>
      </w:r>
      <w:r>
        <w:rPr>
          <w:strike/>
        </w:rPr>
        <w:t xml:space="preserve">. The program</w:t>
      </w:r>
      <w:r>
        <w:t>))</w:t>
      </w:r>
      <w:r>
        <w:rPr/>
        <w:t xml:space="preserve"> shall coordinate efforts among various local government entities </w:t>
      </w:r>
      <w:r>
        <w:t>((</w:t>
      </w:r>
      <w:r>
        <w:rPr>
          <w:strike/>
        </w:rPr>
        <w:t xml:space="preserve">for the purpose of implementing alternatives to incarceration for offenders convicted under RCW 46.61.502 or 46.61.504 with one or more prior convictions under RCW 46.61.502 or 46.61.504</w:t>
      </w:r>
      <w:r>
        <w:t>))</w:t>
      </w:r>
      <w:r>
        <w:rPr/>
        <w:t xml:space="preserve"> </w:t>
      </w:r>
      <w:r>
        <w:rPr>
          <w:u w:val="single"/>
        </w:rPr>
        <w:t xml:space="preserve">to establish a 24/7 sobriety program within their jurisdiction and to enhance pretrial and posttrial options for DUI offenders and offenders of other crimes in which the use of alcohol or drugs was a factor in the commission of the crime. The Washington association of sheriffs and police chiefs shall report on the status of the 24/7 sobriety program to the governor and appropriate committees of the legislature on an annual basis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spacing w:before="0" w:after="0" w:line="408" w:lineRule="exact"/>
        <w:ind w:left="0" w:right="0" w:firstLine="576"/>
        <w:jc w:val="left"/>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spacing w:before="0" w:after="0" w:line="408" w:lineRule="exact"/>
        <w:ind w:left="0" w:right="0" w:firstLine="576"/>
        <w:jc w:val="left"/>
      </w:pPr>
      <w:r>
        <w:rPr/>
        <w:t xml:space="preserve">The definitions in this section apply throughout RCW 36.28A.300 through 36.28A.390 unless the context clearly requires otherwise.</w:t>
      </w:r>
    </w:p>
    <w:p>
      <w:pPr>
        <w:spacing w:before="0" w:after="0" w:line="408" w:lineRule="exact"/>
        <w:ind w:left="0" w:right="0" w:firstLine="576"/>
        <w:jc w:val="left"/>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spacing w:before="0" w:after="0" w:line="408" w:lineRule="exact"/>
        <w:ind w:left="0" w:right="0" w:firstLine="576"/>
        <w:jc w:val="left"/>
      </w:pPr>
      <w:r>
        <w:rPr/>
        <w:t xml:space="preserve">(2) "Participant" means a person who has </w:t>
      </w:r>
      <w:r>
        <w:t>((</w:t>
      </w:r>
      <w:r>
        <w:rPr>
          <w:strike/>
        </w:rPr>
        <w:t xml:space="preserve">one or more prior convictions for a</w:t>
      </w:r>
      <w:r>
        <w:t>))</w:t>
      </w:r>
      <w:r>
        <w:rPr/>
        <w:t xml:space="preserve"> </w:t>
      </w:r>
      <w:r>
        <w:rPr>
          <w:u w:val="single"/>
        </w:rPr>
        <w:t xml:space="preserve">been charged with or convicted of a crime in which the use of alcohol or drugs as defined in RCW 46.61.540 was a contributing factor in the commission of the crime including, but not limited to,</w:t>
      </w:r>
      <w:r>
        <w:rPr/>
        <w:t xml:space="preserve"> violation of RCW 46.61.502 or 46.61.504 and who has been ordered by a court to participate in the 24/7 sobriety program.</w:t>
      </w:r>
    </w:p>
    <w:p>
      <w:pPr>
        <w:spacing w:before="0" w:after="0" w:line="408" w:lineRule="exact"/>
        <w:ind w:left="0" w:right="0" w:firstLine="576"/>
        <w:jc w:val="left"/>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spacing w:before="0" w:after="0" w:line="408" w:lineRule="exact"/>
        <w:ind w:left="0" w:right="0" w:firstLine="576"/>
        <w:jc w:val="left"/>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spacing w:before="0" w:after="0" w:line="408" w:lineRule="exact"/>
        <w:ind w:left="0" w:right="0" w:firstLine="576"/>
        <w:jc w:val="left"/>
      </w:pPr>
      <w:r>
        <w:rPr/>
        <w:t xml:space="preserve">(a) The type, frequency, and time period of testing;</w:t>
      </w:r>
    </w:p>
    <w:p>
      <w:pPr>
        <w:spacing w:before="0" w:after="0" w:line="408" w:lineRule="exact"/>
        <w:ind w:left="0" w:right="0" w:firstLine="576"/>
        <w:jc w:val="left"/>
      </w:pPr>
      <w:r>
        <w:rPr/>
        <w:t xml:space="preserve">(b) The location of testing;</w:t>
      </w:r>
    </w:p>
    <w:p>
      <w:pPr>
        <w:spacing w:before="0" w:after="0" w:line="408" w:lineRule="exact"/>
        <w:ind w:left="0" w:right="0" w:firstLine="576"/>
        <w:jc w:val="left"/>
      </w:pPr>
      <w:r>
        <w:rPr/>
        <w:t xml:space="preserve">(c) The fees and payment procedures required for testing; and</w:t>
      </w:r>
    </w:p>
    <w:p>
      <w:pPr>
        <w:spacing w:before="0" w:after="0" w:line="408" w:lineRule="exact"/>
        <w:ind w:left="0" w:right="0" w:firstLine="576"/>
        <w:jc w:val="left"/>
      </w:pPr>
      <w:r>
        <w:rPr/>
        <w:t xml:space="preserve">(d) The responsibilities and obligations of the participant under the 24/7 sobriety program.</w:t>
      </w:r>
    </w:p>
    <w:p>
      <w:pPr>
        <w:spacing w:before="0" w:after="0" w:line="408" w:lineRule="exact"/>
        <w:ind w:left="0" w:right="0" w:firstLine="576"/>
        <w:jc w:val="left"/>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spacing w:before="0" w:after="0" w:line="408" w:lineRule="exact"/>
        <w:ind w:left="0" w:right="0" w:firstLine="576"/>
        <w:jc w:val="left"/>
      </w:pPr>
      <w:r>
        <w:rPr/>
        <w:t xml:space="preserve">(1) </w:t>
      </w:r>
      <w:r>
        <w:t>((</w:t>
      </w:r>
      <w:r>
        <w:rPr>
          <w:strike/>
        </w:rPr>
        <w:t xml:space="preserve">Funds in the 24/7 sobriety account shall be distributed as follows:</w:t>
      </w:r>
    </w:p>
    <w:p>
      <w:pPr>
        <w:spacing w:before="0" w:after="0" w:line="408" w:lineRule="exact"/>
        <w:ind w:left="0" w:right="0" w:firstLine="576"/>
        <w:jc w:val="left"/>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spacing w:before="0" w:after="0" w:line="408" w:lineRule="exact"/>
        <w:ind w:left="0" w:right="0" w:firstLine="576"/>
        <w:jc w:val="left"/>
      </w:pPr>
      <w:r>
        <w:rPr>
          <w:u w:val="single"/>
        </w:rPr>
        <w:t xml:space="preserve">(4) A city or county may accept donations, gifts, grants, and other assistance to defray the participating agency’s costs of the 24/7 sobriety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spacing w:before="0" w:after="0" w:line="408" w:lineRule="exact"/>
        <w:ind w:left="0" w:right="0" w:firstLine="576"/>
        <w:jc w:val="left"/>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u w:val="single"/>
        </w:rPr>
        <w:t xml:space="preserve">(2)</w:t>
      </w:r>
      <w:r>
        <w:rPr/>
        <w:t xml:space="preserve"> A participant who violates the terms of participation in the 24/7 sobriety program </w:t>
      </w:r>
      <w:r>
        <w:t>((</w:t>
      </w:r>
      <w:r>
        <w:rPr>
          <w:strike/>
        </w:rPr>
        <w:t xml:space="preserve">or does not pay the required fees or associated costs</w:t>
      </w:r>
      <w:r>
        <w:t>))</w:t>
      </w:r>
      <w:r>
        <w:rPr/>
        <w:t xml:space="preserve"> </w:t>
      </w:r>
      <w:r>
        <w:rPr>
          <w:u w:val="single"/>
        </w:rPr>
        <w:t xml:space="preserve">pretrial or posttrial</w:t>
      </w:r>
      <w:r>
        <w:rPr/>
        <w:t xml:space="preserve"> shall</w:t>
      </w:r>
      <w:r>
        <w:rPr>
          <w:u w:val="single"/>
        </w:rPr>
        <w:t xml:space="preserve">, at a minimum</w:t>
      </w:r>
      <w:r>
        <w:rPr/>
        <w:t xml:space="preserve">:</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spacing w:before="0" w:after="0" w:line="408" w:lineRule="exact"/>
        <w:ind w:left="0" w:right="0" w:firstLine="576"/>
        <w:jc w:val="left"/>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spacing w:before="0" w:after="0" w:line="408" w:lineRule="exact"/>
        <w:ind w:left="0" w:right="0" w:firstLine="576"/>
        <w:jc w:val="left"/>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spacing w:before="0" w:after="0" w:line="408" w:lineRule="exact"/>
        <w:ind w:left="0" w:right="0" w:firstLine="576"/>
        <w:jc w:val="left"/>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spacing w:before="0" w:after="0" w:line="408" w:lineRule="exact"/>
        <w:ind w:left="0" w:right="0" w:firstLine="576"/>
        <w:jc w:val="left"/>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spacing w:before="0" w:after="0" w:line="408" w:lineRule="exact"/>
        <w:ind w:left="0" w:right="0" w:firstLine="576"/>
        <w:jc w:val="left"/>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spacing w:before="0" w:after="0" w:line="408" w:lineRule="exact"/>
        <w:ind w:left="0" w:right="0" w:firstLine="576"/>
        <w:jc w:val="left"/>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The defendant may be prohibited from approaching or communicating in any manner with particular persons or classes of persons;</w:t>
      </w:r>
    </w:p>
    <w:p>
      <w:pPr>
        <w:spacing w:before="0" w:after="0" w:line="408" w:lineRule="exact"/>
        <w:ind w:left="0" w:right="0" w:firstLine="576"/>
        <w:jc w:val="left"/>
      </w:pPr>
      <w:r>
        <w:rPr/>
        <w:t xml:space="preserve">(f) The defendant may be prohibited from going to certain geographical areas or premises;</w:t>
      </w:r>
    </w:p>
    <w:p>
      <w:pPr>
        <w:spacing w:before="0" w:after="0" w:line="408" w:lineRule="exact"/>
        <w:ind w:left="0" w:right="0" w:firstLine="576"/>
        <w:jc w:val="left"/>
      </w:pPr>
      <w:r>
        <w:rPr/>
        <w:t xml:space="preserve">(g) The defendant may be prohibited from possessing any dangerous weapons or firearms;</w:t>
      </w:r>
    </w:p>
    <w:p>
      <w:pPr>
        <w:spacing w:before="0" w:after="0" w:line="408" w:lineRule="exact"/>
        <w:ind w:left="0" w:right="0" w:firstLine="576"/>
        <w:jc w:val="left"/>
      </w:pPr>
      <w:r>
        <w:rPr/>
        <w:t xml:space="preserve">(h) The defendant may be prohibited from possessing or consuming any intoxicating liquors or drugs not prescribed to the defendant. The defendant may be required to submit to testing to determine the defendant's compliance with this condition</w:t>
      </w:r>
      <w:r>
        <w:rPr>
          <w:u w:val="single"/>
        </w:rPr>
        <w:t xml:space="preserve">, including participation in a 24/7 sobriety program</w:t>
      </w:r>
      <w:r>
        <w:rPr/>
        <w:t xml:space="preserve">;</w:t>
      </w:r>
    </w:p>
    <w:p>
      <w:pPr>
        <w:spacing w:before="0" w:after="0" w:line="408" w:lineRule="exact"/>
        <w:ind w:left="0" w:right="0" w:firstLine="576"/>
        <w:jc w:val="left"/>
      </w:pPr>
      <w:r>
        <w:rPr/>
        <w:t xml:space="preserve">(i) The defendant may be prohibited from operating a motor vehicle that is not equipped with an ignition interlock device;</w:t>
      </w:r>
    </w:p>
    <w:p>
      <w:pPr>
        <w:spacing w:before="0" w:after="0" w:line="408" w:lineRule="exact"/>
        <w:ind w:left="0" w:right="0" w:firstLine="576"/>
        <w:jc w:val="left"/>
      </w:pPr>
      <w:r>
        <w:rPr/>
        <w:t xml:space="preserve">(j) The defendant may be required to report regularly to and remain under the supervision of an officer of the court or other person or agency; and</w:t>
      </w:r>
    </w:p>
    <w:p>
      <w:pPr>
        <w:spacing w:before="0" w:after="0" w:line="408" w:lineRule="exact"/>
        <w:ind w:left="0" w:right="0" w:firstLine="576"/>
        <w:jc w:val="left"/>
      </w:pPr>
      <w:r>
        <w:rPr/>
        <w:t xml:space="preserve">(k)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d0eee9ad288b4c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be87f1a6c14a74" /><Relationship Type="http://schemas.openxmlformats.org/officeDocument/2006/relationships/footer" Target="/word/footer.xml" Id="Rd0eee9ad288b4cd7" /></Relationships>
</file>