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916e69668a4ec7" /></Relationships>
</file>

<file path=word/document.xml><?xml version="1.0" encoding="utf-8"?>
<w:document xmlns:w="http://schemas.openxmlformats.org/wordprocessingml/2006/main">
  <w:body>
    <w:p>
      <w:r>
        <w:t>H-2882.2</w:t>
      </w:r>
    </w:p>
    <w:p>
      <w:pPr>
        <w:jc w:val="center"/>
      </w:pPr>
      <w:r>
        <w:t>_______________________________________________</w:t>
      </w:r>
    </w:p>
    <w:p/>
    <w:p>
      <w:pPr>
        <w:jc w:val="center"/>
      </w:pPr>
      <w:r>
        <w:rPr>
          <w:b/>
        </w:rPr>
        <w:t>SUBSTITUTE HOUSE BILL 1274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Cody, Jinkins, Johnson, Harris, and Tharinger)</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value-based system for nursing home rates; amending RCW 74.46.431, 74.46.501, and 74.42.360; adding new sections to chapter 74.46 RCW; creating a new section; repealing RCW 74.46.431, 74.46.435, 74.46.506, 74.46.508, 74.46.511, 74.46.515, and 74.46.521;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spacing w:before="0" w:after="0" w:line="408" w:lineRule="exact"/>
        <w:ind w:left="0" w:right="0" w:firstLine="576"/>
        <w:jc w:val="left"/>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spacing w:before="0" w:after="0" w:line="408" w:lineRule="exact"/>
        <w:ind w:left="0" w:right="0" w:firstLine="576"/>
        <w:jc w:val="left"/>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eighty-seven percent of licensed beds, regardless of how many beds are set up or in use. Component rate allocations in operations, property, and financing allowance for small nonessential community providers shall be based upon a minimum facility occupancy of ninety-two percent of licensed beds, regardless of how many beds are set up or in use. Component rate allocations in operations, property, and financing allowance for large nonessential community providers shall be based upon a minimum facility occupancy of ninety-five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spacing w:before="0" w:after="0" w:line="408" w:lineRule="exact"/>
        <w:ind w:left="0" w:right="0" w:firstLine="576"/>
        <w:jc w:val="left"/>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spacing w:before="0" w:after="0" w:line="408" w:lineRule="exact"/>
        <w:ind w:left="0" w:right="0" w:firstLine="576"/>
        <w:jc w:val="left"/>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direct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spacing w:before="0" w:after="0" w:line="408" w:lineRule="exact"/>
        <w:ind w:left="0" w:right="0" w:firstLine="576"/>
        <w:jc w:val="left"/>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therapy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spacing w:before="0" w:after="0" w:line="408" w:lineRule="exact"/>
        <w:ind w:left="0" w:right="0" w:firstLine="576"/>
        <w:jc w:val="left"/>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support services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spacing w:before="0" w:after="0" w:line="408" w:lineRule="exact"/>
        <w:ind w:left="0" w:right="0" w:firstLine="576"/>
        <w:jc w:val="left"/>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operations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spacing w:before="0" w:after="0" w:line="408" w:lineRule="exact"/>
        <w:ind w:left="0" w:right="0" w:firstLine="576"/>
        <w:jc w:val="left"/>
      </w:pPr>
      <w:r>
        <w:rPr/>
        <w:t xml:space="preserve">(8) Total payment rates under the nursing facility medicaid payment system shall not exceed facility rates charged to the general public for comparable services.</w:t>
      </w:r>
    </w:p>
    <w:p>
      <w:pPr>
        <w:spacing w:before="0" w:after="0" w:line="408" w:lineRule="exact"/>
        <w:ind w:left="0" w:right="0" w:firstLine="576"/>
        <w:jc w:val="left"/>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spacing w:before="0" w:after="0" w:line="408" w:lineRule="exact"/>
        <w:ind w:left="0" w:right="0" w:firstLine="576"/>
        <w:jc w:val="left"/>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spacing w:before="0" w:after="0" w:line="408" w:lineRule="exact"/>
        <w:ind w:left="0" w:right="0" w:firstLine="576"/>
        <w:jc w:val="left"/>
      </w:pPr>
      <w:r>
        <w:rPr/>
        <w:t xml:space="preserve">(11) Effective July 1, 2010, there shall be no rate adjustment for facilities with banked beds. For purposes of calculating minimum occupancy, licensed beds include any beds banked under chapter 70.38 RCW.</w:t>
      </w:r>
    </w:p>
    <w:p>
      <w:pPr>
        <w:spacing w:before="0" w:after="0" w:line="408" w:lineRule="exact"/>
        <w:ind w:left="0" w:right="0" w:firstLine="576"/>
        <w:jc w:val="left"/>
      </w:pPr>
      <w:r>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2013 2nd sp.s. c 3 s 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74.46.431 and 74.46.506, to establish a facility's allowable cost per case mix unit. To allow for the transition to minimum data set 3.0 and implementation of resource utilization group IV for July 1, </w:t>
      </w:r>
      <w:r>
        <w:t>((</w:t>
      </w:r>
      <w:r>
        <w:rPr>
          <w:strike/>
        </w:rPr>
        <w:t xml:space="preserve">2013</w:t>
      </w:r>
      <w:r>
        <w:t>))</w:t>
      </w:r>
      <w:r>
        <w:rPr/>
        <w:t xml:space="preserve"> </w:t>
      </w:r>
      <w:r>
        <w:rPr>
          <w:u w:val="single"/>
        </w:rPr>
        <w:t xml:space="preserve">2015</w:t>
      </w:r>
      <w:r>
        <w:rPr/>
        <w:t xml:space="preserve">, through June 30, </w:t>
      </w:r>
      <w:r>
        <w:t>((</w:t>
      </w:r>
      <w:r>
        <w:rPr>
          <w:strike/>
        </w:rPr>
        <w:t xml:space="preserve">2015</w:t>
      </w:r>
      <w:r>
        <w:t>))</w:t>
      </w:r>
      <w:r>
        <w:rPr/>
        <w:t xml:space="preserve"> </w:t>
      </w:r>
      <w:r>
        <w:rPr>
          <w:u w:val="single"/>
        </w:rPr>
        <w:t xml:space="preserve">2017</w:t>
      </w:r>
      <w:r>
        <w:rPr/>
        <w:t xml:space="preserve">, the department shall calculate rates using the medicaid average case mix scores effective for January 1, </w:t>
      </w:r>
      <w:r>
        <w:t>((</w:t>
      </w:r>
      <w:r>
        <w:rPr>
          <w:strike/>
        </w:rPr>
        <w:t xml:space="preserve">2013</w:t>
      </w:r>
      <w:r>
        <w:t>))</w:t>
      </w:r>
      <w:r>
        <w:rPr/>
        <w:t xml:space="preserve"> </w:t>
      </w:r>
      <w:r>
        <w:rPr>
          <w:u w:val="single"/>
        </w:rPr>
        <w:t xml:space="preserve">2015</w:t>
      </w:r>
      <w:r>
        <w:rPr/>
        <w:t xml:space="preserve">, rates adjusted under RCW 74.46.485(1)(a), and the scores shall be increased each six months during the transition period by one-half of one percent. The July 1, </w:t>
      </w:r>
      <w:r>
        <w:t>((</w:t>
      </w:r>
      <w:r>
        <w:rPr>
          <w:strike/>
        </w:rPr>
        <w:t xml:space="preserve">2015</w:t>
      </w:r>
      <w:r>
        <w:t>))</w:t>
      </w:r>
      <w:r>
        <w:rPr/>
        <w:t xml:space="preserve"> </w:t>
      </w:r>
      <w:r>
        <w:rPr>
          <w:u w:val="single"/>
        </w:rPr>
        <w:t xml:space="preserve">2017</w:t>
      </w:r>
      <w:r>
        <w:rPr/>
        <w:t xml:space="preserve">, direct care cost per case mix unit shall be calculated by utilizing </w:t>
      </w:r>
      <w:r>
        <w:t>((</w:t>
      </w:r>
      <w:r>
        <w:rPr>
          <w:strike/>
        </w:rPr>
        <w:t xml:space="preserve">2013</w:t>
      </w:r>
      <w:r>
        <w:t>))</w:t>
      </w:r>
      <w:r>
        <w:rPr/>
        <w:t xml:space="preserve"> </w:t>
      </w:r>
      <w:r>
        <w:rPr>
          <w:u w:val="single"/>
        </w:rPr>
        <w:t xml:space="preserve">2015</w:t>
      </w:r>
      <w:r>
        <w:rPr/>
        <w:t xml:space="preserve"> direct care costs, patient days, and </w:t>
      </w:r>
      <w:r>
        <w:t>((</w:t>
      </w:r>
      <w:r>
        <w:rPr>
          <w:strike/>
        </w:rPr>
        <w:t xml:space="preserve">2013</w:t>
      </w:r>
      <w:r>
        <w:t>))</w:t>
      </w:r>
      <w:r>
        <w:rPr/>
        <w:t xml:space="preserve"> </w:t>
      </w:r>
      <w:r>
        <w:rPr>
          <w:u w:val="single"/>
        </w:rPr>
        <w:t xml:space="preserve">2015</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74.46.431.</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For fiscal year 2016 and subject to appropriation, the department shall do a comparative analysis of the facility-based payment rates calculated on July 1, 2015, using the payment methodology defined in this chapter, to the facility-based rates in effect June 30, 2010. If the facility-based payment rate calculated on July 1, 2015, is smaller than the facility-based payment rate on June 30, 2010, the difference must be provided to the individual nursing facilities as an add-on per medicaid resident day.</w:t>
      </w:r>
    </w:p>
    <w:p>
      <w:pPr>
        <w:spacing w:before="0" w:after="0" w:line="408" w:lineRule="exact"/>
        <w:ind w:left="0" w:right="0" w:firstLine="576"/>
        <w:jc w:val="left"/>
      </w:pPr>
      <w:r>
        <w:rPr/>
        <w:t xml:space="preserve">(2) During the comparative analysis performed in subsection (1) of this section, for fiscal year 2016, if it is found that the direct care rate for any facility calculated under this chapter is greater than the direct care rate in effect on June 30, 2010, then the facility must receive a ten percent direct care rate add-on to compensate that facility for taking on more acute clients than it has in the past.</w:t>
      </w:r>
    </w:p>
    <w:p>
      <w:pPr>
        <w:spacing w:before="0" w:after="0" w:line="408" w:lineRule="exact"/>
        <w:ind w:left="0" w:right="0" w:firstLine="576"/>
        <w:jc w:val="left"/>
      </w:pPr>
      <w:r>
        <w:rPr/>
        <w:t xml:space="preserve">(3) The rate add-ons provided in subsection (2) of this section are subject to the reconciliation and settlement process provided in RCW 74.46.022(6).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of facility-wide case mix neutral median costs. Direct care must be performance-adjusted for acuity every six months, using case mix principles. Direct care must be regionally adjusted for nonmetropolitan and metropolitan statistical areas. There is no minimum occupancy for direct care.</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of facility-wide median costs. Indirect care must be regionally adjusted for nonmetropolitan and metropolitan statistical areas.</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(6) A quality incentive must be offered as a rate enhancement beginning July 1, 2016. An enhancement no larger than five percent of the statewide average daily rate must be paid to facilities that meet or exceed the standard established for the quality incentive. All providers must have the opportunity to earn the full quality incentive. The department must recommend four to six measures to become the standard for the quality incentive, and must describe a system for rewarding incremental improvement related to these four to six measures, within the report to the legislature described in section 6 of this act. Infection rates, pressure ulcers, staffing turnover, fall prevention, utilization of antipsychotic medication, and hospital readmission rates are examples of measures that may be established for the quality incentive.</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department shall adopt rules as are necessary and reasonable to effectuate and maintain the new system for establishing nursing home payment rates described in section 4 of this act and the minimum staffing standards described in RCW 74.42.360. The rules must be consistent with the principles described in section 4 of this act and RCW 74.42.360. In adopting such rules, the department shall solicit the opinions of nursing facility providers, nursing facility provider associations, nursing facility employees, and nursing facility consumer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facilitate a work group process to propose modifications to the price-based nursing facility payment methodology outlined in section 4 of this act and the minimum staffing standards outlined in RCW 74.42.360. The department shall keep a public record of comments submitted by stakeholders throughout the work group process. The work group shall consist of nursing facility provider associations, a representative from a not-for-profit hospital system that operates three or more nursing facilities and is not a member of either statewide nursing facility provider association, nursing facility employees, consumer groups, worker representatives, and the office of financial management. The department shall make its final recommendations to the appropriate legislative committees by January 2, 2016, and shall include a dissent report if agreement is not achieved among stakeholders and the department. The department shall include at least one meeting dedicated to review and analysis of other states with price-based methodologies and must include information on how well each state is achieving quality care outcomes and any specific quality metrics targeted for enhanced payments in comparison to the price-based rates paid to that state's nursing facilities.</w:t>
      </w:r>
    </w:p>
    <w:p>
      <w:pPr>
        <w:spacing w:before="0" w:after="0" w:line="408" w:lineRule="exact"/>
        <w:ind w:left="0" w:right="0" w:firstLine="576"/>
        <w:jc w:val="left"/>
      </w:pPr>
      <w:r>
        <w:rPr/>
        <w:t xml:space="preserve">(2) This section expires August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u w:val="single"/>
        </w:rPr>
        <w:t xml:space="preserve">(2) The department shall institute minimum staffing standards for nursing homes. Beginning July 1, 2016, facilities must provide a minimum of 3.4 hours per resident day of direct care. Direct care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u w:val="single"/>
        </w:rPr>
        <w:t xml:space="preserve">(a) The department shall establish in rule a system of compliance of minimum direct care staffing standards by January 1, 2016. Oversight must be done at least quarterly using nursing home facility census and payroll data.</w:t>
      </w:r>
    </w:p>
    <w:p>
      <w:pPr>
        <w:spacing w:before="0" w:after="0" w:line="408" w:lineRule="exact"/>
        <w:ind w:left="0" w:right="0" w:firstLine="576"/>
        <w:jc w:val="left"/>
      </w:pPr>
      <w:r>
        <w:rPr>
          <w:u w:val="single"/>
        </w:rPr>
        <w:t xml:space="preserve">(b) The department shall establish in rule by January 1, 2016, a system of financial penalties for facilities out of compliance with minimum staffing standards. Beginning July 1, 2016, pursuant to rules established by the department, funds that are received from financial penalties must be used for technical assistance, specialized training, or an increase to the quality enhancement established in section 4 of this act.</w:t>
      </w:r>
    </w:p>
    <w:p>
      <w:pPr>
        <w:spacing w:before="0" w:after="0" w:line="408" w:lineRule="exact"/>
        <w:ind w:left="0" w:right="0" w:firstLine="576"/>
        <w:jc w:val="left"/>
      </w:pPr>
      <w:r>
        <w:rPr>
          <w:u w:val="single"/>
        </w:rPr>
        <w:t xml:space="preserve">(3)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 separate nursing facility quality enhancement account is created in the custody of the state treasurer. Beginning July 1, 2015, all receipts from the reconciliation and settlement process provided in RCW 74.46.022(6), as described within section 4 of this act,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2016:</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2015 1st sp.s. c . . . s 1 (section 1 of this act), 2013 2nd sp.s. c 3 s 1, 2011 1st sp.s. c 7 s 1, 2010 1st sp.s. c 34 s 3, 2009 c 570 s 1, 2008 c 263 s 2, 2007 c 508 s 2, 2006 c 258 s 2, 2005 c 518 s 944, 2004 c 276 s 913, 2001 1st sp.s. c 8 s 5, 1999 c 353 s 4, &amp; 1998 c 322 s 19;</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spacing w:before="0" w:after="0" w:line="408" w:lineRule="exact"/>
        <w:ind w:left="0" w:right="0" w:firstLine="576"/>
        <w:jc w:val="left"/>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spacing w:before="0" w:after="0" w:line="408" w:lineRule="exact"/>
        <w:ind w:left="0" w:right="0" w:firstLine="576"/>
        <w:jc w:val="left"/>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spacing w:before="0" w:after="0" w:line="408" w:lineRule="exact"/>
        <w:ind w:left="0" w:right="0" w:firstLine="576"/>
        <w:jc w:val="left"/>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3e4298feaff45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3a3289d3bf45c6" /><Relationship Type="http://schemas.openxmlformats.org/officeDocument/2006/relationships/footer" Target="/word/footer.xml" Id="R93e4298feaff456d" /></Relationships>
</file>