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2c2c8c080a4c9f" /></Relationships>
</file>

<file path=word/document.xml><?xml version="1.0" encoding="utf-8"?>
<w:document xmlns:w="http://schemas.openxmlformats.org/wordprocessingml/2006/main">
  <w:body>
    <w:p>
      <w:r>
        <w:t>H-0478.4</w:t>
      </w:r>
    </w:p>
    <w:p>
      <w:pPr>
        <w:jc w:val="center"/>
      </w:pPr>
      <w:r>
        <w:t>_______________________________________________</w:t>
      </w:r>
    </w:p>
    <w:p/>
    <w:p>
      <w:pPr>
        <w:jc w:val="center"/>
      </w:pPr>
      <w:r>
        <w:rPr>
          <w:b/>
        </w:rPr>
        <w:t>HOUSE BILL 1258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Rodne, Jinkins, Haler, Cody, Harris, Goodman, Muri, Fagan, Hansen, Buys, Orwall, Kilduff, Springer, Senn, Walsh, Pettigrew, Robinson, Bergquist, Stanford, Fitzgibbon, Pollet, Stokesbary, Sells, Peterson, McBride, Pike, Farrell, Ortiz-Self, Zeiger, Van De Wege, Tharinger, Hunter, Sullivan, Lytton, Riccelli, Carlyle, Clibborn, Magendanz, and Gregerson</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and adding new sections to chapter 71.05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the designated mental health professional received notice of such a person and has not taken action to have the person detained, an immediate family member or guardian or conservator of the person may petition the superior court for review of the designated mental health professional's decision.</w:t>
      </w:r>
    </w:p>
    <w:p>
      <w:pPr>
        <w:spacing w:before="0" w:after="0" w:line="408" w:lineRule="exact"/>
        <w:ind w:left="0" w:right="0" w:firstLine="576"/>
        <w:jc w:val="left"/>
      </w:pPr>
      <w:r>
        <w:rPr/>
        <w:t xml:space="preserve">(2) The petitioner shall serve, or cause to be served, a notice of the petition on the designated mental health professional. Within twenty-four hours of receiving notice of the petition, the designated mental health professional must:</w:t>
      </w:r>
    </w:p>
    <w:p>
      <w:pPr>
        <w:spacing w:before="0" w:after="0" w:line="408" w:lineRule="exact"/>
        <w:ind w:left="0" w:right="0" w:firstLine="576"/>
        <w:jc w:val="left"/>
      </w:pPr>
      <w:r>
        <w:rPr/>
        <w:t xml:space="preserve">(a) Notify the court that the person has been detained for evaluation and treatment or that the person has agreed to voluntarily accept appropriate evaluation and treatment, in which case the court shall dismiss the petition; or</w:t>
      </w:r>
    </w:p>
    <w:p>
      <w:pPr>
        <w:spacing w:before="0" w:after="0" w:line="408" w:lineRule="exact"/>
        <w:ind w:left="0" w:right="0" w:firstLine="576"/>
        <w:jc w:val="left"/>
      </w:pPr>
      <w:r>
        <w:rPr/>
        <w:t xml:space="preserve">(b) Provide the court with a written explanation of the basis for the decision not to seek initial detention and a copy of the information collected during the investigation. </w:t>
      </w:r>
    </w:p>
    <w:p>
      <w:pPr>
        <w:spacing w:before="0" w:after="0" w:line="408" w:lineRule="exact"/>
        <w:ind w:left="0" w:right="0" w:firstLine="576"/>
        <w:jc w:val="left"/>
      </w:pPr>
      <w:r>
        <w:rPr/>
        <w:t xml:space="preserve">(3) If upon review the court finds: (a) That there is probable cause to support a petition for initial detention, taking into consideration any information provided by the petitioner; and (b) that the person has refused or failed to accept appropriate evaluation and treatment voluntarily; the court may enter an order for initial detention under RCW 71.05.150(2).</w:t>
      </w:r>
    </w:p>
    <w:p>
      <w:pPr>
        <w:spacing w:before="0" w:after="0" w:line="408" w:lineRule="exact"/>
        <w:ind w:left="0" w:right="0" w:firstLine="576"/>
        <w:jc w:val="left"/>
      </w:pPr>
      <w:r>
        <w:rPr/>
        <w:t xml:space="preserve">(4)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complaint about a failure to detain a person must inform the complainant about the process to petition for court review under section 1 of this act.</w:t>
      </w:r>
    </w:p>
    <w:p/>
    <w:p>
      <w:pPr>
        <w:jc w:val="center"/>
      </w:pPr>
      <w:r>
        <w:rPr>
          <w:b/>
        </w:rPr>
        <w:t>--- END ---</w:t>
      </w:r>
    </w:p>
    <w:sectPr>
      <w:pgNumType w:start="1"/>
      <w:footerReference xmlns:r="http://schemas.openxmlformats.org/officeDocument/2006/relationships" r:id="Re1d0347bc7ab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047441fe54e6f" /><Relationship Type="http://schemas.openxmlformats.org/officeDocument/2006/relationships/footer" Target="/word/footer.xml" Id="Re1d0347bc7ab4001" /></Relationships>
</file>