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6d6b564084a88" /></Relationships>
</file>

<file path=word/document.xml><?xml version="1.0" encoding="utf-8"?>
<w:document xmlns:w="http://schemas.openxmlformats.org/wordprocessingml/2006/main">
  <w:body>
    <w:p>
      <w:r>
        <w:t>H-0774.1</w:t>
      </w:r>
    </w:p>
    <w:p>
      <w:pPr>
        <w:jc w:val="center"/>
      </w:pPr>
      <w:r>
        <w:t>_______________________________________________</w:t>
      </w:r>
    </w:p>
    <w:p/>
    <w:p>
      <w:pPr>
        <w:jc w:val="center"/>
      </w:pPr>
      <w:r>
        <w:rPr>
          <w:b/>
        </w:rPr>
        <w:t>HOUSE BILL 1238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Haler, Bergquist, Hargrove, Sells, Fitzgibbon, Fey, and Tarleton</w:t>
      </w:r>
    </w:p>
    <w:p/>
    <w:p>
      <w:r>
        <w:rPr>
          <w:t xml:space="preserve">Read first time 01/15/15.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tuition planning; amending RCW 28B.77.020;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the cost of tuition, where an individual resides in the state, economic status, race or ethnicity, or other status of an individual, should not be a barrier for any resident to obtain a postsecondary certificate or degree from an institution of higher education. The legislature recognizes that for higher education tuition to be affordable for most Washington residents it should not exceed ten percent of the median family income.</w:t>
      </w:r>
    </w:p>
    <w:p>
      <w:pPr>
        <w:spacing w:before="0" w:after="0" w:line="408" w:lineRule="exact"/>
        <w:ind w:left="0" w:right="0" w:firstLine="576"/>
        <w:jc w:val="left"/>
      </w:pPr>
      <w:r>
        <w:rPr/>
        <w:t xml:space="preserve">(2) The legislature finds that student loan debt has become a lifetime barrier to improving the quality of life for many Washingtonians. The legislature recognizes that federal student loan programs are scheduled to increase interest rates, while average debt is increasing to twenty-eight thousand dollars for a bachelor's degree. If loan interest rates rise to eight percent, this will threaten students' abilities to choose to pursue public service careers with starting salaries in the thirty thousand dollars to fifty thousand dollars range due to debt payments of over five thousand dollars per year.</w:t>
      </w:r>
    </w:p>
    <w:p>
      <w:pPr>
        <w:spacing w:before="0" w:after="0" w:line="408" w:lineRule="exact"/>
        <w:ind w:left="0" w:right="0" w:firstLine="576"/>
        <w:jc w:val="left"/>
      </w:pPr>
      <w:r>
        <w:rPr/>
        <w:t xml:space="preserve">(3) The legislature finds that financial aid programs, such as the college bound scholarship program and the state need grant program, do not address affordability for many students whose families earn fifty to seventy percent of the median household income and provide no support for those who are truly in the middle of the state's income distribution. The legislature's goal is to use the total cost of attendance as a factor when considering student financial aid policy to accurately represent the true cost of higher education.</w:t>
      </w:r>
    </w:p>
    <w:p>
      <w:pPr>
        <w:spacing w:before="0" w:after="0" w:line="408" w:lineRule="exact"/>
        <w:ind w:left="0" w:right="0" w:firstLine="576"/>
        <w:jc w:val="left"/>
      </w:pPr>
      <w:r>
        <w:rPr/>
        <w:t xml:space="preserve">(4) The legislature recognizes that in 2002 the state's share of spending relative to tuition at public baccalaureate institutions was seventy-six percent and in 2012 it dropped to thirty-six percent. The legislature finds that this shift has resulted in a reduction in access and opportunity. For example tuition at the University of Washington rose from ten percent of the median household income to over twenty percent in just five years.</w:t>
      </w:r>
    </w:p>
    <w:p>
      <w:pPr>
        <w:spacing w:before="0" w:after="0" w:line="408" w:lineRule="exact"/>
        <w:ind w:left="0" w:right="0" w:firstLine="576"/>
        <w:jc w:val="left"/>
      </w:pPr>
      <w:r>
        <w:rPr/>
        <w:t xml:space="preserve">(5) The legislature's goal is to make higher education accessible and affordable for all families and it sets a long-term goal for tuition at public institutions of higher education to be no higher than ten percent of the median household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2013 2nd sp.s. c 25 s 6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w:t>
      </w:r>
      <w:r>
        <w:rPr>
          <w:u w:val="single"/>
        </w:rPr>
        <w:t xml:space="preserve">Meeting affordability and access goals by evaluating and proposing strategies, including increased state support, to return to tuition not exceeding ten percent of the state median household income at institutions of higher education and basing financial aid policies on the total cost of attendance, provided these strategies do not harm institutional quality;</w:t>
      </w:r>
    </w:p>
    <w:p>
      <w:pPr>
        <w:spacing w:before="0" w:after="0" w:line="408" w:lineRule="exact"/>
        <w:ind w:left="0" w:right="0" w:firstLine="576"/>
        <w:jc w:val="left"/>
      </w:pPr>
      <w:r>
        <w:rPr>
          <w:u w:val="single"/>
        </w:rPr>
        <w:t xml:space="preserve">(d)</w:t>
      </w:r>
      <w:r>
        <w:rPr/>
        <w:t xml:space="preserve"> Higher education finance planning and strategic investments including budget recommendations necessary to meet statewide goals;</w:t>
      </w:r>
    </w:p>
    <w:p>
      <w:pPr>
        <w:spacing w:before="0" w:after="0" w:line="408" w:lineRule="exact"/>
        <w:ind w:left="0" w:right="0" w:firstLine="576"/>
        <w:jc w:val="left"/>
      </w:pPr>
      <w:r>
        <w:t>((</w:t>
      </w:r>
      <w:r>
        <w:rPr>
          <w:strike/>
        </w:rPr>
        <w:t xml:space="preserve">(d)</w:t>
      </w:r>
      <w:r>
        <w:t>))</w:t>
      </w:r>
      <w:r>
        <w:rPr>
          <w:u w:val="single"/>
        </w:rPr>
        <w:t xml:space="preserve">(e)</w:t>
      </w:r>
      <w:r>
        <w:rPr/>
        <w:t xml:space="preserve"> System design and coordination;</w:t>
      </w:r>
    </w:p>
    <w:p>
      <w:pPr>
        <w:spacing w:before="0" w:after="0" w:line="408" w:lineRule="exact"/>
        <w:ind w:left="0" w:right="0" w:firstLine="576"/>
        <w:jc w:val="left"/>
      </w:pPr>
      <w:r>
        <w:t>((</w:t>
      </w:r>
      <w:r>
        <w:rPr>
          <w:strike/>
        </w:rPr>
        <w:t xml:space="preserve">(e)</w:t>
      </w:r>
      <w:r>
        <w:t>))</w:t>
      </w:r>
      <w:r>
        <w:rPr>
          <w:u w:val="single"/>
        </w:rPr>
        <w:t xml:space="preserve">(f)</w:t>
      </w:r>
      <w:r>
        <w:rPr/>
        <w:t xml:space="preserve"> Improving student transitions;</w:t>
      </w:r>
    </w:p>
    <w:p>
      <w:pPr>
        <w:spacing w:before="0" w:after="0" w:line="408" w:lineRule="exact"/>
        <w:ind w:left="0" w:right="0" w:firstLine="576"/>
        <w:jc w:val="left"/>
      </w:pPr>
      <w:r>
        <w:t>((</w:t>
      </w:r>
      <w:r>
        <w:rPr>
          <w:strike/>
        </w:rPr>
        <w:t xml:space="preserve">(f)</w:t>
      </w:r>
      <w:r>
        <w:t>))</w:t>
      </w:r>
      <w:r>
        <w:rPr>
          <w:u w:val="single"/>
        </w:rPr>
        <w:t xml:space="preserve">(g)</w:t>
      </w:r>
      <w:r>
        <w:rPr/>
        <w:t xml:space="preserve">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t>((</w:t>
      </w:r>
      <w:r>
        <w:rPr>
          <w:strike/>
        </w:rPr>
        <w:t xml:space="preserve">(g)</w:t>
      </w:r>
      <w:r>
        <w:t>))</w:t>
      </w:r>
      <w:r>
        <w:rPr>
          <w:u w:val="single"/>
        </w:rPr>
        <w:t xml:space="preserve">(h)</w:t>
      </w:r>
      <w:r>
        <w:rPr/>
        <w:t xml:space="preserve"> College and career access preparedness, in collaboration with the office of the superintendent of public instruction and the state board of education;</w:t>
      </w:r>
    </w:p>
    <w:p>
      <w:pPr>
        <w:spacing w:before="0" w:after="0" w:line="408" w:lineRule="exact"/>
        <w:ind w:left="0" w:right="0" w:firstLine="576"/>
        <w:jc w:val="left"/>
      </w:pPr>
      <w:r>
        <w:t>((</w:t>
      </w:r>
      <w:r>
        <w:rPr>
          <w:strike/>
        </w:rPr>
        <w:t xml:space="preserve">(h)</w:t>
      </w:r>
      <w:r>
        <w:t>))</w:t>
      </w:r>
      <w:r>
        <w:rPr>
          <w:u w:val="single"/>
        </w:rPr>
        <w:t xml:space="preserve">(i)</w:t>
      </w:r>
      <w:r>
        <w:rPr/>
        <w:t xml:space="preserve"> Expanding participation and success for racial and ethnic minorities in higher education;</w:t>
      </w:r>
    </w:p>
    <w:p>
      <w:pPr>
        <w:spacing w:before="0" w:after="0" w:line="408" w:lineRule="exact"/>
        <w:ind w:left="0" w:right="0" w:firstLine="576"/>
        <w:jc w:val="left"/>
      </w:pPr>
      <w:r>
        <w:t>((</w:t>
      </w:r>
      <w:r>
        <w:rPr>
          <w:strike/>
        </w:rPr>
        <w:t xml:space="preserve">(i)</w:t>
      </w:r>
      <w:r>
        <w:t>))</w:t>
      </w:r>
      <w:r>
        <w:rPr>
          <w:u w:val="single"/>
        </w:rPr>
        <w:t xml:space="preserve">(j)</w:t>
      </w:r>
      <w:r>
        <w:rPr/>
        <w:t xml:space="preserve">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t>((</w:t>
      </w:r>
      <w:r>
        <w:rPr>
          <w:strike/>
        </w:rPr>
        <w:t xml:space="preserve">(j)</w:t>
      </w:r>
      <w:r>
        <w:t>))</w:t>
      </w:r>
      <w:r>
        <w:rPr>
          <w:u w:val="single"/>
        </w:rPr>
        <w:t xml:space="preserve">(k)</w:t>
      </w:r>
      <w:r>
        <w:rPr/>
        <w:t xml:space="preserve">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t>((</w:t>
      </w:r>
      <w:r>
        <w:rPr>
          <w:strike/>
        </w:rPr>
        <w:t xml:space="preserve">(k)</w:t>
      </w:r>
      <w:r>
        <w:t>))</w:t>
      </w:r>
      <w:r>
        <w:rPr>
          <w:u w:val="single"/>
        </w:rPr>
        <w:t xml:space="preserve">(l)</w:t>
      </w:r>
      <w:r>
        <w:rPr/>
        <w:t xml:space="preserve">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 a requirement that coursework in American sign language or an American Indian language satisfies any requirement for instruction in a language other than English that the council or the institutions may establish as a general undergraduate admissions requirement;</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the state need grant and other scholarships,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state need grant and other forms of state financial aid.</w:t>
      </w:r>
    </w:p>
    <w:p>
      <w:pPr>
        <w:spacing w:before="0" w:after="0" w:line="408" w:lineRule="exact"/>
        <w:ind w:left="0" w:right="0" w:firstLine="576"/>
        <w:jc w:val="left"/>
      </w:pPr>
      <w:r>
        <w:rPr/>
        <w:t xml:space="preserve">(i) The criteria shall include retention rates, completion rates, loan default rates, and annual tuition increases, among other criteria for students who receive state need grant as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state need grant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state need grants, impacts on meeting the state's higher education goals for educational attainment, and options for prioritization of the state need grant and possible consequences of implementing each option. When examining options for prioritizing the state need grant the council shall consider awarding grants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
      <w:pPr>
        <w:jc w:val="center"/>
      </w:pPr>
      <w:r>
        <w:rPr>
          <w:b/>
        </w:rPr>
        <w:t>--- END ---</w:t>
      </w:r>
    </w:p>
    <w:sectPr>
      <w:pgNumType w:start="1"/>
      <w:footerReference xmlns:r="http://schemas.openxmlformats.org/officeDocument/2006/relationships" r:id="R073be0bba92d43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6b8f3a3624efa" /><Relationship Type="http://schemas.openxmlformats.org/officeDocument/2006/relationships/footer" Target="/word/footer.xml" Id="R073be0bba92d43f7" /></Relationships>
</file>