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d3debbfb7407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1236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Ortiz-Self, Johnson, Santos, Lytton, Moscoso, Pettigrew, Walkinshaw, Kilduff, Sawyer, Reykdal, Bergquist, Fey, Tarleton, and Hudgins)</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w:t>
      </w:r>
      <w:r>
        <w:rPr>
          <w:u w:val="single"/>
        </w:rPr>
        <w:t xml:space="preserve">(i) Beginning in the 2016-17 academic year, the office of student financial assistance shall make multiple attempts to secure the signature of the student's parent or guardian for the purpose of witnessing the pledge.</w:t>
      </w:r>
    </w:p>
    <w:p>
      <w:pPr>
        <w:ind w:left="0" w:right="0" w:firstLine="360"/>
        <w:jc w:val="both"/>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w:t>
      </w:r>
    </w:p>
    <w:p>
      <w:pPr>
        <w:ind w:left="0" w:right="0" w:firstLine="360"/>
        <w:jc w:val="both"/>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ind w:left="0" w:right="0" w:firstLine="360"/>
        <w:jc w:val="both"/>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ind w:left="0" w:right="0" w:firstLine="360"/>
        <w:jc w:val="both"/>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ind w:left="0" w:right="0" w:firstLine="360"/>
        <w:jc w:val="both"/>
      </w:pPr>
      <w:r>
        <w:rPr/>
        <w:t xml:space="preserve">The office of student financial assistance shall:</w:t>
      </w:r>
    </w:p>
    <w:p>
      <w:pPr>
        <w:ind w:left="0" w:right="0" w:firstLine="360"/>
        <w:jc w:val="both"/>
      </w:pPr>
      <w:r>
        <w:rPr/>
        <w:t xml:space="preserve">(1) With the assistance of the office of the superintendent of public instruction, implement and administer the Washington college bound scholarship program;</w:t>
      </w:r>
    </w:p>
    <w:p>
      <w:pPr>
        <w:ind w:left="0" w:right="0" w:firstLine="360"/>
        <w:jc w:val="both"/>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ind w:left="0" w:right="0" w:firstLine="360"/>
        <w:jc w:val="both"/>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ind w:left="0" w:right="0" w:firstLine="360"/>
        <w:jc w:val="both"/>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ind w:left="0" w:right="0" w:firstLine="360"/>
        <w:jc w:val="both"/>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ind w:left="0" w:right="0" w:firstLine="360"/>
        <w:jc w:val="both"/>
      </w:pPr>
      <w:r>
        <w:rPr/>
        <w:t xml:space="preserve">(6) Track scholarship recipients to ensure continued eligibility and determine student compliance for awarding of scholarships;</w:t>
      </w:r>
    </w:p>
    <w:p>
      <w:pPr>
        <w:ind w:left="0" w:right="0" w:firstLine="360"/>
        <w:jc w:val="both"/>
      </w:pPr>
      <w:r>
        <w:rPr/>
        <w:t xml:space="preserve">(7) Within existing resources, collaborate with college access providers and K-12, postsecondary, and youth-serving organizations to map and coordinate mentoring and advising resources across the state;</w:t>
      </w:r>
    </w:p>
    <w:p>
      <w:pPr>
        <w:ind w:left="0" w:right="0" w:firstLine="360"/>
        <w:jc w:val="both"/>
      </w:pPr>
      <w:r>
        <w:rPr/>
        <w:t xml:space="preserve">(8) Subject to appropriation, deposit funds into the state educational trust fund;</w:t>
      </w:r>
    </w:p>
    <w:p>
      <w:pPr>
        <w:ind w:left="0" w:right="0" w:firstLine="360"/>
        <w:jc w:val="both"/>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ind w:left="0" w:right="0" w:firstLine="360"/>
        <w:jc w:val="both"/>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f8e6b963240648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2a796d478844d2" /><Relationship Type="http://schemas.openxmlformats.org/officeDocument/2006/relationships/footer" Target="/word/footer.xml" Id="Rf8e6b96324064821" /></Relationships>
</file>