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423380abef41e8" /></Relationships>
</file>

<file path=word/document.xml><?xml version="1.0" encoding="utf-8"?>
<w:document xmlns:w="http://schemas.openxmlformats.org/wordprocessingml/2006/main">
  <w:body>
    <w:p>
      <w:r>
        <w:t>H-0046.1</w:t>
      </w:r>
    </w:p>
    <w:p>
      <w:pPr>
        <w:jc w:val="center"/>
      </w:pPr>
      <w:r>
        <w:t>_______________________________________________</w:t>
      </w:r>
    </w:p>
    <w:p/>
    <w:p>
      <w:pPr>
        <w:jc w:val="center"/>
      </w:pPr>
      <w:r>
        <w:rPr>
          <w:b/>
        </w:rPr>
        <w:t>HOUSE BILL 1230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Sells and Ormsby</w:t>
      </w:r>
    </w:p>
    <w:p/>
    <w:p>
      <w:r>
        <w:rPr>
          <w:t xml:space="preserve">Read first time 01/15/15.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ordering of interest arbitration; and amending RCW 41.56.160.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160</w:t>
      </w:r>
      <w:r>
        <w:rPr/>
        <w:t xml:space="preserve"> and 1994 c 58 s 1 are each amended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PROVIDED, That a complaint shall not be processed for any unfair labor practice occurring more than six months before the filing of the complaint with the commission. This power shall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If the commission determines that any person has engaged in or is engaging in an unfair labor practice, the commission shall issue and cause to be served upon the person an order requiring the person to cease and desist from such unfair labor practice, and to take such affirmative action as will effectuate the purposes and policy of this chapter, such as the payment of damages</w:t>
      </w:r>
      <w:r>
        <w:rPr>
          <w:u w:val="single"/>
        </w:rPr>
        <w:t xml:space="preserve">, the ordering of interest arbitration under RCW 41.56.450 through 41.56.470, 41.56.480, and 41.56.490,</w:t>
      </w:r>
      <w:r>
        <w:rPr/>
        <w:t xml:space="preserve"> and the reinstatement of employees.</w:t>
      </w:r>
    </w:p>
    <w:p>
      <w:pPr>
        <w:spacing w:before="0" w:after="0" w:line="408" w:lineRule="exact"/>
        <w:ind w:left="0" w:right="0" w:firstLine="576"/>
        <w:jc w:val="left"/>
      </w:pPr>
      <w:r>
        <w:rPr/>
        <w:t xml:space="preserve">(3) The commission may petition the superior court for the county in which the main office of the employer is located or in which the person who has engaged or is engaging in such unfair labor practice resides or transacts business, for the enforcement of its order and for appropriate temporary relief.</w:t>
      </w:r>
    </w:p>
    <w:p/>
    <w:p>
      <w:pPr>
        <w:jc w:val="center"/>
      </w:pPr>
      <w:r>
        <w:rPr>
          <w:b/>
        </w:rPr>
        <w:t>--- END ---</w:t>
      </w:r>
    </w:p>
    <w:sectPr>
      <w:pgNumType w:start="1"/>
      <w:footerReference xmlns:r="http://schemas.openxmlformats.org/officeDocument/2006/relationships" r:id="R55f87594c3a24e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b2e18d7acf4093" /><Relationship Type="http://schemas.openxmlformats.org/officeDocument/2006/relationships/footer" Target="/word/footer.xml" Id="R55f87594c3a24e86" /></Relationships>
</file>