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d58ef5041b45a5" /></Relationships>
</file>

<file path=word/document.xml><?xml version="1.0" encoding="utf-8"?>
<w:document xmlns:w="http://schemas.openxmlformats.org/wordprocessingml/2006/main">
  <w:body>
    <w:p>
      <w:r>
        <w:t>H-0485.1</w:t>
      </w:r>
    </w:p>
    <w:p>
      <w:pPr>
        <w:jc w:val="center"/>
      </w:pPr>
      <w:r>
        <w:t>_______________________________________________</w:t>
      </w:r>
    </w:p>
    <w:p/>
    <w:p>
      <w:pPr>
        <w:jc w:val="center"/>
      </w:pPr>
      <w:r>
        <w:rPr>
          <w:b/>
        </w:rPr>
        <w:t>HOUSE BILL 1228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S. Hunt, Appleton, Robinson, Haler, Van De Wege, Short, Riccelli, Pike, MacEwen, Kretz, Orwall, Buys, McBride, Fagan, Ortiz-Self, Bergquist, Walkinshaw, Holy, Rodne, Walsh, Sawyer, Caldier, Scott, Kagi, Magendanz, Goodman, Stambaugh, Vick, Moscoso, Ormsby, Muri, Wilson, McCaslin, and Parker</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information on ballot measures; amending RCW 29A.32.060, 29A.32.070, 29A.32.090, 29A.32.100, and 29A.32.121; and adding a new section to chapter 29A.72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office of financial management, in consultation with the secretary of state, the department of revenue, other state agencies, selected local governments and associations of local governments, and legislative fiscal staff, when appropriate, shall prepare a fiscal impact statement for each:</w:t>
      </w:r>
    </w:p>
    <w:p>
      <w:pPr>
        <w:spacing w:before="0" w:after="0" w:line="408" w:lineRule="exact"/>
        <w:ind w:left="0" w:right="0" w:firstLine="576"/>
        <w:jc w:val="left"/>
      </w:pPr>
      <w:r>
        <w:rPr/>
        <w:t xml:space="preserve">(a) Initiative to the people certified for the ballot under RCW 29A.72.250;</w:t>
      </w:r>
    </w:p>
    <w:p>
      <w:pPr>
        <w:spacing w:before="0" w:after="0" w:line="408" w:lineRule="exact"/>
        <w:ind w:left="0" w:right="0" w:firstLine="576"/>
        <w:jc w:val="left"/>
      </w:pPr>
      <w:r>
        <w:rPr/>
        <w:t xml:space="preserve">(b) Initiative to the legislature certified for the ballot under RCW 29A.72.260;</w:t>
      </w:r>
    </w:p>
    <w:p>
      <w:pPr>
        <w:spacing w:before="0" w:after="0" w:line="408" w:lineRule="exact"/>
        <w:ind w:left="0" w:right="0" w:firstLine="576"/>
        <w:jc w:val="left"/>
      </w:pPr>
      <w:r>
        <w:rPr/>
        <w:t xml:space="preserve">(c) Alternative measure certified for the ballot under RCW 29A.72.270;</w:t>
      </w:r>
    </w:p>
    <w:p>
      <w:pPr>
        <w:spacing w:before="0" w:after="0" w:line="408" w:lineRule="exact"/>
        <w:ind w:left="0" w:right="0" w:firstLine="576"/>
        <w:jc w:val="left"/>
      </w:pPr>
      <w:r>
        <w:rPr/>
        <w:t xml:space="preserve">(d) Referendum bill referred to voters by the legislature under RCW 29A.72.250; and</w:t>
      </w:r>
    </w:p>
    <w:p>
      <w:pPr>
        <w:spacing w:before="0" w:after="0" w:line="408" w:lineRule="exact"/>
        <w:ind w:left="0" w:right="0" w:firstLine="576"/>
        <w:jc w:val="left"/>
      </w:pPr>
      <w:r>
        <w:rPr/>
        <w:t xml:space="preserve">(e) Referendum measure certified for the ballot under RCW 29A.72.250.</w:t>
      </w:r>
    </w:p>
    <w:p>
      <w:pPr>
        <w:spacing w:before="0" w:after="0" w:line="408" w:lineRule="exact"/>
        <w:ind w:left="0" w:right="0" w:firstLine="576"/>
        <w:jc w:val="left"/>
      </w:pPr>
      <w:r>
        <w:rPr/>
        <w:t xml:space="preserve">(2) Each fiscal impact statement must describe any projected increases or decreases in revenues, costs, expenditures, or indebtedness that the state and local governments will experience if the ballot measure is approved by voters. The fiscal impact statement must include a summary not exceeding one hundred words and a more detailed statement that includes the assumptions that were made to develop the fiscal impacts. The fiscal impact statement must be written in clear and concise language and avoid legal and technical terms when possible, and may include easy to understand graphics. Where appropriate, the fiscal impact statement may include both estimated dollar amounts and a description placing the estimated dollar amounts into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2003 c 111 s 806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w:t>
      </w:r>
      <w:r>
        <w:t>((</w:t>
      </w:r>
      <w:r>
        <w:rPr>
          <w:strike/>
        </w:rPr>
        <w:t xml:space="preserve">and</w:t>
      </w:r>
      <w:r>
        <w:t>))</w:t>
      </w:r>
      <w:r>
        <w:rPr>
          <w:u w:val="single"/>
        </w:rPr>
        <w:t xml:space="preserve">,</w:t>
      </w:r>
      <w:r>
        <w:rPr/>
        <w:t xml:space="preserve"> rebuttals of those arguments</w:t>
      </w:r>
      <w:r>
        <w:rPr>
          <w:u w:val="single"/>
        </w:rPr>
        <w:t xml:space="preserve">, and statements responding to each fiscal impact statement prepared by the office of financial management</w:t>
      </w:r>
      <w:r>
        <w:rPr/>
        <w:t xml:space="preserve">.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w:t>
      </w:r>
      <w:r>
        <w:rPr>
          <w:u w:val="single"/>
        </w:rPr>
        <w:t xml:space="preserve">s</w:t>
      </w:r>
      <w:r>
        <w:t>((</w:t>
      </w:r>
      <w:r>
        <w:rPr>
          <w:strike/>
        </w:rPr>
        <w:t xml:space="preserve">statements</w:t>
      </w:r>
      <w:r>
        <w:t>))</w:t>
      </w:r>
      <w:r>
        <w:rPr>
          <w:u w:val="single"/>
        </w:rPr>
        <w:t xml:space="preserve">advocating the approval or rejection of the ballot measure</w:t>
      </w:r>
      <w:r>
        <w:rPr/>
        <w:t xml:space="preserve"> to the secretary of state, the secretary of state shall transmit the </w:t>
      </w:r>
      <w:r>
        <w:t>((</w:t>
      </w:r>
      <w:r>
        <w:rPr>
          <w:strike/>
        </w:rPr>
        <w:t xml:space="preserve">statements</w:t>
      </w:r>
      <w:r>
        <w:t>))</w:t>
      </w:r>
      <w:r>
        <w:rPr>
          <w:u w:val="single"/>
        </w:rPr>
        <w:t xml:space="preserve">arguments</w:t>
      </w:r>
      <w:r>
        <w:rPr/>
        <w:t xml:space="preserve">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only argument statements prepared according to this section. Arguments may contain graphs and charts supported by factual statistical data and pictures or other illustrations. Cartoons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w:t>
      </w:r>
      <w:r>
        <w:t>((</w:t>
      </w:r>
      <w:r>
        <w:rPr>
          <w:strike/>
        </w:rPr>
        <w:t xml:space="preserve">(11)</w:t>
      </w:r>
      <w:r>
        <w:t>))</w:t>
      </w:r>
      <w:r>
        <w:rPr>
          <w:u w:val="single"/>
        </w:rPr>
        <w:t xml:space="preserve">(12)</w:t>
      </w:r>
      <w:r>
        <w:rPr/>
        <w:t xml:space="preserve">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w:t>
      </w:r>
      <w:r>
        <w:rPr>
          <w:u w:val="single"/>
        </w:rPr>
        <w:t xml:space="preserve">A statement from each committee responding to the fiscal impact statement prepared by the office of financial management;</w:t>
      </w:r>
    </w:p>
    <w:p>
      <w:pPr>
        <w:spacing w:before="0" w:after="0" w:line="408" w:lineRule="exact"/>
        <w:ind w:left="0" w:right="0" w:firstLine="576"/>
        <w:jc w:val="left"/>
      </w:pPr>
      <w:r>
        <w:rPr>
          <w:u w:val="single"/>
        </w:rPr>
        <w:t xml:space="preserve">(10)</w:t>
      </w:r>
      <w:r>
        <w:rPr/>
        <w:t xml:space="preserve"> Each argument </w:t>
      </w:r>
      <w:r>
        <w:t>((</w:t>
      </w:r>
      <w:r>
        <w:rPr>
          <w:strike/>
        </w:rPr>
        <w:t xml:space="preserve">or</w:t>
      </w:r>
      <w:r>
        <w:t>))</w:t>
      </w:r>
      <w:r>
        <w:rPr>
          <w:u w:val="single"/>
        </w:rPr>
        <w:t xml:space="preserve">,</w:t>
      </w:r>
      <w:r>
        <w:rPr/>
        <w:t xml:space="preserve"> rebuttal statement</w:t>
      </w:r>
      <w:r>
        <w:rPr>
          <w:u w:val="single"/>
        </w:rPr>
        <w:t xml:space="preserve">, and response statement</w:t>
      </w:r>
      <w:r>
        <w:rPr/>
        <w:t xml:space="preserve">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u w:val="single"/>
        </w:rPr>
        <w:t xml:space="preserve">(11)</w:t>
      </w:r>
      <w:r>
        <w:rPr/>
        <w:t xml:space="preserve"> The full text of the measure;</w:t>
      </w:r>
    </w:p>
    <w:p>
      <w:pPr>
        <w:spacing w:before="0" w:after="0" w:line="408" w:lineRule="exact"/>
        <w:ind w:left="0" w:right="0" w:firstLine="576"/>
        <w:jc w:val="left"/>
      </w:pPr>
      <w:r>
        <w:t>((</w:t>
      </w:r>
      <w:r>
        <w:rPr>
          <w:strike/>
        </w:rPr>
        <w:t xml:space="preserve">(11)</w:t>
      </w:r>
      <w:r>
        <w:t>))</w:t>
      </w:r>
      <w:r>
        <w:rPr>
          <w:u w:val="single"/>
        </w:rPr>
        <w:t xml:space="preserve">(12)</w:t>
      </w:r>
      <w:r>
        <w:rPr/>
        <w:t xml:space="preserve">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w:t>
      </w:r>
      <w:r>
        <w:t>((</w:t>
      </w:r>
      <w:r>
        <w:rPr>
          <w:strike/>
        </w:rPr>
        <w:t xml:space="preserve">e-mail</w:t>
      </w:r>
      <w:r>
        <w:t>))</w:t>
      </w:r>
      <w:r>
        <w:rPr>
          <w:u w:val="single"/>
        </w:rPr>
        <w:t xml:space="preserve">email</w:t>
      </w:r>
      <w:r>
        <w:rPr/>
        <w:t xml:space="preserv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090</w:t>
      </w:r>
      <w:r>
        <w:rPr/>
        <w:t xml:space="preserve"> and 2009 c 222 s 3 are each amended to read as follows:</w:t>
      </w:r>
    </w:p>
    <w:p>
      <w:pPr>
        <w:spacing w:before="0" w:after="0" w:line="408" w:lineRule="exact"/>
        <w:ind w:left="0" w:right="0" w:firstLine="576"/>
        <w:jc w:val="left"/>
      </w:pPr>
      <w:r>
        <w:rPr/>
        <w:t xml:space="preserve">(1) If in the opinion of the secretary of state any argument or statement offered for inclusion in the voters' pamphlet in support of or opposition to a measure or candidate</w:t>
      </w:r>
      <w:r>
        <w:rPr>
          <w:u w:val="single"/>
        </w:rPr>
        <w:t xml:space="preserve">, or in response to a fiscal impact statement,</w:t>
      </w:r>
      <w:r>
        <w:rPr/>
        <w:t xml:space="preserve"> contains obscene matter or matter that is otherwise prohibited by law from distribution through the mail, the secretary may petition the superior court of Thurston county for a judicial determination that the argument or statement may be rejected for publication or edited to delete the matter. The court shall not enter such an order unless it concludes that the matter is obscene or otherwise prohibited for distribution through the mail.</w:t>
      </w:r>
    </w:p>
    <w:p>
      <w:pPr>
        <w:spacing w:before="0" w:after="0" w:line="408" w:lineRule="exact"/>
        <w:ind w:left="0" w:right="0" w:firstLine="576"/>
        <w:jc w:val="left"/>
      </w:pPr>
      <w:r>
        <w:rPr/>
        <w:t xml:space="preserve">(2) A candidate's statement submitted for inclusion in the voters' pamphlet shall not contain false or misleading statements about the candidate's opponent. A false or misleading statement shall be considered "libel or defamation per se" if the statement tends to expose the candidate to hatred, contempt, ridicule, or obloquy, or to deprive him or her of the benefit of public confidence or social intercourse, or to injure him or her in his or her business or occupation. If a candidate believes his or her opponent has libeled or defamed him or her, the candidate may commence an action under subsection (3) of this section.</w:t>
      </w:r>
    </w:p>
    <w:p>
      <w:pPr>
        <w:spacing w:before="0" w:after="0" w:line="408" w:lineRule="exact"/>
        <w:ind w:left="0" w:right="0" w:firstLine="576"/>
        <w:jc w:val="left"/>
      </w:pPr>
      <w:r>
        <w:rPr/>
        <w:t xml:space="preserve">(3)(a) A person who believes that he or she may be defamed by an argument or statement offered for inclusion in the voters' pamphlet in support of or opposition to a measure or candidate may petition the superior court of Thurston county for a judicial determination that the argument or statement may be rejected for publication or edited to delete the defamatory </w:t>
      </w:r>
      <w:r>
        <w:t>((</w:t>
      </w:r>
      <w:r>
        <w:rPr>
          <w:strike/>
        </w:rPr>
        <w:t xml:space="preserve">statement</w:t>
      </w:r>
      <w:r>
        <w:t>))</w:t>
      </w:r>
      <w:r>
        <w:rPr>
          <w:u w:val="single"/>
        </w:rPr>
        <w:t xml:space="preserve">matter</w:t>
      </w:r>
      <w:r>
        <w:rPr/>
        <w:t xml:space="preserve">.</w:t>
      </w:r>
    </w:p>
    <w:p>
      <w:pPr>
        <w:spacing w:before="0" w:after="0" w:line="408" w:lineRule="exact"/>
        <w:ind w:left="0" w:right="0" w:firstLine="576"/>
        <w:jc w:val="left"/>
      </w:pPr>
      <w:r>
        <w:rPr/>
        <w:t xml:space="preserve">(b) The court shall not enter such an order unless it concludes that the </w:t>
      </w:r>
      <w:r>
        <w:rPr>
          <w:u w:val="single"/>
        </w:rPr>
        <w:t xml:space="preserve">argument or</w:t>
      </w:r>
      <w:r>
        <w:rPr/>
        <w:t xml:space="preserve"> statement is untrue and that the petitioner has a very substantial likelihood of prevailing in a defamation action.</w:t>
      </w:r>
    </w:p>
    <w:p>
      <w:pPr>
        <w:spacing w:before="0" w:after="0" w:line="408" w:lineRule="exact"/>
        <w:ind w:left="0" w:right="0" w:firstLine="576"/>
        <w:jc w:val="left"/>
      </w:pPr>
      <w:r>
        <w:rPr/>
        <w:t xml:space="preserve">(c) An action under this subsection (3) must be filed and served no later than the tenth day after the deadline for the submission of the argument or statement to the secretary of state.</w:t>
      </w:r>
    </w:p>
    <w:p>
      <w:pPr>
        <w:spacing w:before="0" w:after="0" w:line="408" w:lineRule="exact"/>
        <w:ind w:left="0" w:right="0" w:firstLine="576"/>
        <w:jc w:val="left"/>
      </w:pPr>
      <w:r>
        <w:rPr/>
        <w:t xml:space="preserve">(d) If the secretary of state notifies a person named or identified in an argument or statement of the contents of the argument or statement within three days after the deadline for submission to the secretary, then neither the state nor the secretary is liable for damages resulting from publication of the argument or statement unless the secretary publishes the argument or statement in violation of an order entered under this section. Nothing in this section creates a duty on the part of the secretary of state to identify, locate, or notify the person.</w:t>
      </w:r>
    </w:p>
    <w:p>
      <w:pPr>
        <w:spacing w:before="0" w:after="0" w:line="408" w:lineRule="exact"/>
        <w:ind w:left="0" w:right="0" w:firstLine="576"/>
        <w:jc w:val="left"/>
      </w:pPr>
      <w:r>
        <w:rPr/>
        <w:t xml:space="preserve">(4) Parties to a dispute under this section may agree to resolve the dispute by rephrasing the argument or statement, even if the deadline for submission to the secretary has elapsed, unless the secretary determines that the process of publication is too far advanced to permit the change. The secretary shall promptly provide any such revision to any committee entitled to submit a rebuttal argument. If that committee has not yet submitted its rebuttal, its deadline to submit a rebuttal is extended by five days. If it has submitted a rebuttal, it may revise it to address the change within five days of the filing of the revised argument with the secretary.</w:t>
      </w:r>
    </w:p>
    <w:p>
      <w:pPr>
        <w:spacing w:before="0" w:after="0" w:line="408" w:lineRule="exact"/>
        <w:ind w:left="0" w:right="0" w:firstLine="576"/>
        <w:jc w:val="left"/>
      </w:pPr>
      <w:r>
        <w:rPr/>
        <w:t xml:space="preserve">(5) In an action under this section the committee or candidate must be named as a defendant, and may be served with process by certified mail directed to the address contained in the secretary's records for that party. The secretary of state shall be a nominal party to an action brought under subsection (3) of this section, solely for the purpose of determining the content of the voters' pamphlet. The superior court shall give such an action priority on its calendar.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100</w:t>
      </w:r>
      <w:r>
        <w:rPr/>
        <w:t xml:space="preserve"> and 2013 c 11 s 37 are each amended to read as follows:</w:t>
      </w:r>
    </w:p>
    <w:p>
      <w:pPr>
        <w:spacing w:before="0" w:after="0" w:line="408" w:lineRule="exact"/>
        <w:ind w:left="0" w:right="0" w:firstLine="576"/>
        <w:jc w:val="left"/>
      </w:pPr>
      <w:r>
        <w:rPr/>
        <w:t xml:space="preserve">(1) An argument or statement submitted to the secretary of state for publication in the voters' pamphlet is not available for public inspection or copying until:</w:t>
      </w:r>
    </w:p>
    <w:p>
      <w:pPr>
        <w:spacing w:before="0" w:after="0" w:line="408" w:lineRule="exact"/>
        <w:ind w:left="0" w:right="0" w:firstLine="576"/>
        <w:jc w:val="left"/>
      </w:pPr>
      <w:r>
        <w:rPr/>
        <w:t xml:space="preserve">(a) In the case of candidate statements, (i) all statements by all candidates who have filed for a particular office have been received, except those who informed the secretary that they will not submit statements, or (ii) the deadline for submission of statements has elapsed;</w:t>
      </w:r>
    </w:p>
    <w:p>
      <w:pPr>
        <w:spacing w:before="0" w:after="0" w:line="408" w:lineRule="exact"/>
        <w:ind w:left="0" w:right="0" w:firstLine="576"/>
        <w:jc w:val="left"/>
      </w:pPr>
      <w:r>
        <w:rPr/>
        <w:t xml:space="preserve">(b) In the case of arguments supporting or opposing a measure, (i) the arguments on both sides have been received, unless a committee was not appointed for one side, or (ii) the deadline for submission of arguments has elapsed; </w:t>
      </w:r>
      <w:r>
        <w:t>((</w:t>
      </w:r>
      <w:r>
        <w:rPr>
          <w:strike/>
        </w:rPr>
        <w:t xml:space="preserve">and</w:t>
      </w:r>
      <w:r>
        <w:t>))</w:t>
      </w:r>
    </w:p>
    <w:p>
      <w:pPr>
        <w:spacing w:before="0" w:after="0" w:line="408" w:lineRule="exact"/>
        <w:ind w:left="0" w:right="0" w:firstLine="576"/>
        <w:jc w:val="left"/>
      </w:pPr>
      <w:r>
        <w:rPr/>
        <w:t xml:space="preserve">(c) In the case of rebuttal arguments, (i) the rebuttals on both sides have been received, unless a committee was not appointed for one side, or (ii) the deadline for submission of arguments has elapsed</w:t>
      </w:r>
      <w:r>
        <w:rPr>
          <w:u w:val="single"/>
        </w:rPr>
        <w:t xml:space="preserve">; and</w:t>
      </w:r>
    </w:p>
    <w:p>
      <w:pPr>
        <w:spacing w:before="0" w:after="0" w:line="408" w:lineRule="exact"/>
        <w:ind w:left="0" w:right="0" w:firstLine="576"/>
        <w:jc w:val="left"/>
      </w:pPr>
      <w:r>
        <w:rPr>
          <w:u w:val="single"/>
        </w:rPr>
        <w:t xml:space="preserve">(d) In the case of statements written in response to fiscal impact statements, (i) the statements on both sides have been received, unless a committee was not appointed for one side, or (ii) the deadline for submission of statements has elapsed</w:t>
      </w:r>
      <w:r>
        <w:rPr/>
        <w:t xml:space="preserve">.</w:t>
      </w:r>
    </w:p>
    <w:p>
      <w:pPr>
        <w:spacing w:before="0" w:after="0" w:line="408" w:lineRule="exact"/>
        <w:ind w:left="0" w:right="0" w:firstLine="576"/>
        <w:jc w:val="left"/>
      </w:pPr>
      <w:r>
        <w:rPr/>
        <w:t xml:space="preserve">(2) Nothing in this section prohibits the secretary from releasing information under RCW 29A.32.090.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one hundred words;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pPr>
        <w:spacing w:before="0" w:after="0" w:line="408" w:lineRule="exact"/>
        <w:ind w:left="0" w:right="0" w:firstLine="576"/>
        <w:jc w:val="left"/>
      </w:pPr>
      <w:r>
        <w:rPr/>
        <w:t xml:space="preserve">(2) Arguments written by committees under RCW 29A.32.060 may not exceed two hundred fifty words in length.</w:t>
      </w:r>
    </w:p>
    <w:p>
      <w:pPr>
        <w:spacing w:before="0" w:after="0" w:line="408" w:lineRule="exact"/>
        <w:ind w:left="0" w:right="0" w:firstLine="576"/>
        <w:jc w:val="left"/>
      </w:pPr>
      <w:r>
        <w:rPr/>
        <w:t xml:space="preserve">(3) Rebuttal arguments written by committees may not exceed seventy-five words in length.</w:t>
      </w:r>
    </w:p>
    <w:p>
      <w:pPr>
        <w:spacing w:before="0" w:after="0" w:line="408" w:lineRule="exact"/>
        <w:ind w:left="0" w:right="0" w:firstLine="576"/>
        <w:jc w:val="left"/>
      </w:pPr>
      <w:r>
        <w:rPr/>
        <w:t xml:space="preserve">(4) </w:t>
      </w:r>
      <w:r>
        <w:rPr>
          <w:u w:val="single"/>
        </w:rPr>
        <w:t xml:space="preserve">Statements from committees responding to fiscal impact statements may not exceed seventy-five words in length.</w:t>
      </w:r>
    </w:p>
    <w:p>
      <w:pPr>
        <w:spacing w:before="0" w:after="0" w:line="408" w:lineRule="exact"/>
        <w:ind w:left="0" w:right="0" w:firstLine="576"/>
        <w:jc w:val="left"/>
      </w:pPr>
      <w:r>
        <w:rPr>
          <w:u w:val="single"/>
        </w:rPr>
        <w:t xml:space="preserve">(5)</w:t>
      </w:r>
      <w:r>
        <w:rPr/>
        <w:t xml:space="preserve"> The secretary of state shall allocate space in the pamphlet based on the number of candidates or nominees for each office.</w:t>
      </w:r>
    </w:p>
    <w:p/>
    <w:p>
      <w:pPr>
        <w:jc w:val="center"/>
      </w:pPr>
      <w:r>
        <w:rPr>
          <w:b/>
        </w:rPr>
        <w:t>--- END ---</w:t>
      </w:r>
    </w:p>
    <w:sectPr>
      <w:pgNumType w:start="1"/>
      <w:footerReference xmlns:r="http://schemas.openxmlformats.org/officeDocument/2006/relationships" r:id="Rf900030656a740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9b0d128b35417c" /><Relationship Type="http://schemas.openxmlformats.org/officeDocument/2006/relationships/footer" Target="/word/footer.xml" Id="Rf900030656a74075" /></Relationships>
</file>