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16c65aabc4356" /></Relationships>
</file>

<file path=word/document.xml><?xml version="1.0" encoding="utf-8"?>
<w:document xmlns:w="http://schemas.openxmlformats.org/wordprocessingml/2006/main">
  <w:body>
    <w:p>
      <w:r>
        <w:t>H-0204.1</w:t>
      </w:r>
    </w:p>
    <w:p>
      <w:pPr>
        <w:jc w:val="center"/>
      </w:pPr>
      <w:r>
        <w:t>_______________________________________________</w:t>
      </w:r>
    </w:p>
    <w:p/>
    <w:p>
      <w:pPr>
        <w:jc w:val="center"/>
      </w:pPr>
      <w:r>
        <w:rPr>
          <w:b/>
        </w:rPr>
        <w:t>HOUSE BILL 1221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Hansen, Young, Appleton, Caldier, Griffey, and MacEwen</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passenger-only ferry service districts; adding new sections to chapter 36.57A RCW; adding a new section to chapter 82.14 RCW; adding a new section to chapter 82.80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57A</w:t>
      </w:r>
      <w:r>
        <w:rPr/>
        <w:t xml:space="preserve"> RCW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57A</w:t>
      </w:r>
      <w:r>
        <w:rPr/>
        <w:t xml:space="preserve"> RCW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3 of this act;</w:t>
      </w:r>
    </w:p>
    <w:p>
      <w:pPr>
        <w:spacing w:before="0" w:after="0" w:line="408" w:lineRule="exact"/>
        <w:ind w:left="0" w:right="0" w:firstLine="576"/>
        <w:jc w:val="left"/>
      </w:pPr>
      <w:r>
        <w:rPr/>
        <w:t xml:space="preserve">(b) A parking tax, as authorized in section 4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3 of this act. A district may contract with other appropriate entities for the administration and collection of any of the other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14</w:t>
      </w:r>
      <w:r>
        <w:rPr/>
        <w:t xml:space="preserve"> RCW to read as follows:</w:t>
      </w:r>
    </w:p>
    <w:p>
      <w:pPr>
        <w:spacing w:before="0" w:after="0" w:line="408" w:lineRule="exact"/>
        <w:ind w:left="0" w:right="0" w:firstLine="576"/>
        <w:jc w:val="left"/>
      </w:pPr>
      <w:r>
        <w:rPr/>
        <w:t xml:space="preserve">Passenger-only ferry service districts providing passenger-only ferry service as provided in section 1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80</w:t>
      </w:r>
      <w:r>
        <w:rPr/>
        <w:t xml:space="preserve"> RCW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2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36</w:t>
      </w:r>
      <w:r>
        <w:rPr/>
        <w:t xml:space="preserve">.</w:t>
      </w:r>
      <w:r>
        <w:t xml:space="preserve">57A</w:t>
      </w:r>
      <w:r>
        <w:rPr/>
        <w:t xml:space="preserve"> RCW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bf55c1dcf69647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0dc210e45e4f23" /><Relationship Type="http://schemas.openxmlformats.org/officeDocument/2006/relationships/footer" Target="/word/footer.xml" Id="Rbf55c1dcf6964718" /></Relationships>
</file>