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99c13801a45f0" /></Relationships>
</file>

<file path=word/document.xml><?xml version="1.0" encoding="utf-8"?>
<w:document xmlns:w="http://schemas.openxmlformats.org/wordprocessingml/2006/main">
  <w:body>
    <w:p>
      <w:r>
        <w:t>H-0632.2</w:t>
      </w:r>
    </w:p>
    <w:p>
      <w:pPr>
        <w:jc w:val="center"/>
      </w:pPr>
      <w:r>
        <w:t>_______________________________________________</w:t>
      </w:r>
    </w:p>
    <w:p/>
    <w:p>
      <w:pPr>
        <w:jc w:val="center"/>
      </w:pPr>
      <w:r>
        <w:rPr>
          <w:b/>
        </w:rPr>
        <w:t>HOUSE BILL 1220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Wilcox, Takko, Nealey, Lytton, Orcutt, Haler, Klippert, McCaslin, Buys, and Parker</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hazardous substance tax exemption for certain hazardous substances defined under RCW 82.21.020(1)(c) that are used as agricultural crop protection products and warehoused but not otherwise used, manufactured, packaged, or sold in this state; amending RCW 82.21.040; adding a new section to chapter 82.21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spacing w:before="0" w:after="0" w:line="408" w:lineRule="exact"/>
        <w:ind w:left="0" w:right="0" w:firstLine="576"/>
        <w:jc w:val="left"/>
      </w:pPr>
      <w:r>
        <w:rPr/>
        <w:t xml:space="preserve">(3) If a review finds an average increase in revenue of the hazardous substance tax,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spacing w:before="0" w:after="0" w:line="408" w:lineRule="exact"/>
        <w:ind w:left="0" w:right="0" w:firstLine="576"/>
        <w:jc w:val="left"/>
      </w:pPr>
      <w:r>
        <w:rPr/>
        <w:t xml:space="preserve">(4) Any possession of alumina or natural gas.</w:t>
      </w:r>
    </w:p>
    <w:p>
      <w:pPr>
        <w:spacing w:before="0" w:after="0" w:line="408" w:lineRule="exact"/>
        <w:ind w:left="0" w:right="0" w:firstLine="576"/>
        <w:jc w:val="left"/>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u w:val="single"/>
        </w:rPr>
        <w:t xml:space="preserve">(b) For the purposes of this subsection (5), the following definitions apply:</w:t>
      </w:r>
    </w:p>
    <w:p>
      <w:pPr>
        <w:spacing w:before="0" w:after="0" w:line="408" w:lineRule="exact"/>
        <w:ind w:left="0" w:right="0" w:firstLine="576"/>
        <w:jc w:val="left"/>
      </w:pPr>
      <w:r>
        <w:rPr>
          <w:u w:val="single"/>
        </w:rPr>
        <w:t xml:space="preserve">(i) "Certified applicator" has the same meaning as provided in RCW 17.21.020.</w:t>
      </w:r>
    </w:p>
    <w:p>
      <w:pPr>
        <w:spacing w:before="0" w:after="0" w:line="408" w:lineRule="exact"/>
        <w:ind w:left="0" w:right="0" w:firstLine="576"/>
        <w:jc w:val="left"/>
      </w:pPr>
      <w:r>
        <w:rPr>
          <w:u w:val="single"/>
        </w:rPr>
        <w:t xml:space="preserve">(ii) "Farmer" has the same meaning as in RCW 82.04.213.</w:t>
      </w:r>
    </w:p>
    <w:p>
      <w:pPr>
        <w:spacing w:before="0" w:after="0" w:line="408" w:lineRule="exact"/>
        <w:ind w:left="0" w:right="0" w:firstLine="576"/>
        <w:jc w:val="left"/>
      </w:pPr>
      <w:r>
        <w:rPr>
          <w:u w:val="single"/>
        </w:rPr>
        <w:t xml:space="preserve">(iii) "Use" has the same meaning as in RCW 82.12.010.</w:t>
      </w:r>
    </w:p>
    <w:p>
      <w:pPr>
        <w:spacing w:before="0" w:after="0" w:line="408" w:lineRule="exact"/>
        <w:ind w:left="0" w:right="0" w:firstLine="576"/>
        <w:jc w:val="left"/>
      </w:pPr>
      <w:r>
        <w:rPr>
          <w:u w:val="single"/>
        </w:rPr>
        <w:t xml:space="preserve">(6)</w:t>
      </w:r>
      <w:r>
        <w:rPr/>
        <w:t xml:space="preserve"> Persons or activities which the state is prohibited from taxing under the United States Constitution.</w:t>
      </w:r>
    </w:p>
    <w:p>
      <w:pPr>
        <w:spacing w:before="0" w:after="0" w:line="408" w:lineRule="exact"/>
        <w:ind w:left="0" w:right="0" w:firstLine="576"/>
        <w:jc w:val="left"/>
      </w:pPr>
      <w:r>
        <w:t>((</w:t>
      </w:r>
      <w:r>
        <w:rPr>
          <w:strike/>
        </w:rPr>
        <w:t xml:space="preserve">(6) Any persons possessing a hazardous substance where such possession first occurred before March 1, 1989.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605d7535a2249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85ed58b9c849e6" /><Relationship Type="http://schemas.openxmlformats.org/officeDocument/2006/relationships/footer" Target="/word/footer.xml" Id="R6605d7535a224970" /></Relationships>
</file>