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90891d2f264c77" /></Relationships>
</file>

<file path=word/document.xml><?xml version="1.0" encoding="utf-8"?>
<w:document xmlns:w="http://schemas.openxmlformats.org/wordprocessingml/2006/main">
  <w:body>
    <w:p>
      <w:r>
        <w:t>H-1446.1</w:t>
      </w:r>
    </w:p>
    <w:p>
      <w:pPr>
        <w:jc w:val="center"/>
      </w:pPr>
      <w:r>
        <w:t>_______________________________________________</w:t>
      </w:r>
    </w:p>
    <w:p/>
    <w:p>
      <w:pPr>
        <w:jc w:val="center"/>
      </w:pPr>
      <w:r>
        <w:rPr>
          <w:b/>
        </w:rPr>
        <w:t>SUBSTITUTE HOUSE BILL 1213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Orwall, Klippert, MacEwen, Moeller, Hayes, Moscoso, Ormsby, Muri, Kilduff, and Tarleton)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for the purposes of the county veterans assistance fund; and amending RCW 73.08.005.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2013 c 42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w:t>
      </w:r>
      <w:r>
        <w:rPr>
          <w:u w:val="single"/>
        </w:rPr>
        <w:t xml:space="preserve">, or a servicemember who was killed in the line of duty regardless of the number of days served</w:t>
      </w:r>
      <w:r>
        <w:rPr/>
        <w:t xml:space="preserve">.</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w:t>
      </w:r>
      <w:r>
        <w:rPr>
          <w:u w:val="single"/>
        </w:rPr>
        <w:t xml:space="preserve">(a)</w:t>
      </w:r>
      <w:r>
        <w:rPr/>
        <w:t xml:space="preserve"> "Veteran" </w:t>
      </w:r>
      <w:r>
        <w:t>((</w:t>
      </w:r>
      <w:r>
        <w:rPr>
          <w:strike/>
        </w:rPr>
        <w:t xml:space="preserve">has the same meaning as defined in RCW 41.04.005 and 41.04.007, and in addition may include, at the discretion of the county legislative authority and in consultation with the veterans' advisory board, any other person who at the time he or she seeks the benefits of RCW 73.08.010, 73.08.070, and 73.08.080:</w:t>
      </w:r>
    </w:p>
    <w:p>
      <w:pPr>
        <w:spacing w:before="0" w:after="0" w:line="408" w:lineRule="exact"/>
        <w:ind w:left="0" w:right="0" w:firstLine="576"/>
        <w:jc w:val="left"/>
      </w:pPr>
      <w:r>
        <w:rPr>
          <w:strike/>
        </w:rPr>
        <w:t xml:space="preserve">(a) Has received a general discharge under honorable conditions; or</w:t>
      </w:r>
    </w:p>
    <w:p>
      <w:pPr>
        <w:spacing w:before="0" w:after="0" w:line="408" w:lineRule="exact"/>
        <w:ind w:left="0" w:right="0" w:firstLine="576"/>
        <w:jc w:val="left"/>
      </w:pPr>
      <w:r>
        <w:rPr>
          <w:strike/>
        </w:rPr>
        <w:t xml:space="preserve">(b) Has received a medical or physical discharge with an honorable record</w:t>
      </w:r>
      <w:r>
        <w:t>))</w:t>
      </w:r>
      <w:r>
        <w:rPr>
          <w:u w:val="single"/>
        </w:rPr>
        <w:t xml:space="preserve">means:</w:t>
      </w:r>
    </w:p>
    <w:p>
      <w:pPr>
        <w:spacing w:before="0" w:after="0" w:line="408" w:lineRule="exact"/>
        <w:ind w:left="0" w:right="0" w:firstLine="576"/>
        <w:jc w:val="left"/>
      </w:pPr>
      <w:r>
        <w:rPr>
          <w:u w:val="single"/>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u w:val="single"/>
        </w:rPr>
        <w:t xml:space="preserve">(A) Served on active duty for at least one hundred eighty days and who was released with an honorable discharge;</w:t>
      </w:r>
    </w:p>
    <w:p>
      <w:pPr>
        <w:spacing w:before="0" w:after="0" w:line="408" w:lineRule="exact"/>
        <w:ind w:left="0" w:right="0" w:firstLine="576"/>
        <w:jc w:val="left"/>
      </w:pPr>
      <w:r>
        <w:rPr>
          <w:u w:val="single"/>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u w:val="single"/>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u w:val="single"/>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u w:val="single"/>
        </w:rPr>
        <w:t xml:space="preserve">(iii) A former member of the armed forces reserve or national guard who has fulfilled his or her initial military service obligation and was released with an honorable discharge.</w:t>
      </w:r>
    </w:p>
    <w:p>
      <w:pPr>
        <w:spacing w:before="0" w:after="0" w:line="408" w:lineRule="exact"/>
        <w:ind w:left="0" w:right="0" w:firstLine="576"/>
        <w:jc w:val="left"/>
      </w:pPr>
      <w:r>
        <w:rPr>
          <w:u w:val="single"/>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r>
        <w:rPr/>
        <w:t xml:space="preserve">.</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
      <w:pPr>
        <w:jc w:val="center"/>
      </w:pPr>
      <w:r>
        <w:rPr>
          <w:b/>
        </w:rPr>
        <w:t>--- END ---</w:t>
      </w:r>
    </w:p>
    <w:sectPr>
      <w:pgNumType w:start="1"/>
      <w:footerReference xmlns:r="http://schemas.openxmlformats.org/officeDocument/2006/relationships" r:id="R381d753986d94f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fc148884a44ba0" /><Relationship Type="http://schemas.openxmlformats.org/officeDocument/2006/relationships/footer" Target="/word/footer.xml" Id="R381d753986d94f95" /></Relationships>
</file>