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dcd200abed4d47" /></Relationships>
</file>

<file path=word/document.xml><?xml version="1.0" encoding="utf-8"?>
<w:document xmlns:w="http://schemas.openxmlformats.org/wordprocessingml/2006/main">
  <w:body>
    <w:p>
      <w:r>
        <w:t>H-0305.2</w:t>
      </w:r>
    </w:p>
    <w:p>
      <w:pPr>
        <w:jc w:val="center"/>
      </w:pPr>
      <w:r>
        <w:t>_______________________________________________</w:t>
      </w:r>
    </w:p>
    <w:p/>
    <w:p>
      <w:pPr>
        <w:jc w:val="center"/>
      </w:pPr>
      <w:r>
        <w:rPr>
          <w:b/>
        </w:rPr>
        <w:t>HOUSE BILL 1198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Vick, Kirby, and Hayes</w:t>
      </w:r>
    </w:p>
    <w:p/>
    <w:p>
      <w:r>
        <w:rPr>
          <w:t xml:space="preserve">Read first time 01/15/15.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beer and cider by grocery store licensees; and amending RCW 66.24.360.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2012 c 2 s 104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 </w:t>
      </w:r>
      <w:r>
        <w:rPr>
          <w:u w:val="single"/>
        </w:rPr>
        <w:t xml:space="preserve">Upon approval by the board, the grocery store licensee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u w:val="single"/>
        </w:rPr>
        <w:t xml:space="preserve">(7)</w:t>
      </w:r>
      <w:r>
        <w:rPr/>
        <w:t xml:space="preserve">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u w:val="single"/>
        </w:rPr>
        <w:t xml:space="preserve">(12) The board may adopt rules to implement this section.</w:t>
      </w:r>
    </w:p>
    <w:p>
      <w:pPr>
        <w:spacing w:before="0" w:after="0" w:line="408" w:lineRule="exact"/>
        <w:ind w:left="0" w:right="0" w:firstLine="576"/>
        <w:jc w:val="left"/>
      </w:pPr>
      <w:r>
        <w:rPr>
          <w:u w:val="single"/>
        </w:rPr>
        <w:t xml:space="preserve">(13) Nothing in this section limits the authority of the board to regulate the sale of beer or cider or container sizes under rules adopted pursuant to RCW 66.08.030.</w:t>
      </w:r>
    </w:p>
    <w:p/>
    <w:p>
      <w:pPr>
        <w:jc w:val="center"/>
      </w:pPr>
      <w:r>
        <w:rPr>
          <w:b/>
        </w:rPr>
        <w:t>--- END ---</w:t>
      </w:r>
    </w:p>
    <w:sectPr>
      <w:pgNumType w:start="1"/>
      <w:footerReference xmlns:r="http://schemas.openxmlformats.org/officeDocument/2006/relationships" r:id="Rbed99b1aff214e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045aa35ad64f11" /><Relationship Type="http://schemas.openxmlformats.org/officeDocument/2006/relationships/footer" Target="/word/footer.xml" Id="Rbed99b1aff214eb7" /></Relationships>
</file>