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10b52ad3347c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Blake, Buys, Stanford, Hayes, and Parker</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best practices for water banks; reenacting and amending RCW 90.42.020; adding new sections to chapter 90.42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of surface water rights in the basin. In addition, the holders of junior water rights in the basin may be subject to water use curtailment. The unique nature of the Yakima basin has led to the development of an active water market for water reallocation that includes the use of the trust water right program for mitigation purposes and water banking.</w:t>
      </w:r>
    </w:p>
    <w:p>
      <w:pPr>
        <w:spacing w:before="0" w:after="0" w:line="408" w:lineRule="exact"/>
        <w:ind w:left="0" w:right="0" w:firstLine="576"/>
        <w:jc w:val="left"/>
      </w:pPr>
      <w:r>
        <w:rPr/>
        <w:t xml:space="preserve">(2) In adopting this act to establish standards for water banking in the Yakima basin, it is not the intent of the legislature to imply that the types of water mitigation currently used in the Yakima basin can or should be applied to other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"Yakima basin water bank sponsor" means any person, corporation, or other entity, including a state agency, nonprofit organization, or local government, that  holds a legal or beneficial interest in a trust water right from which mitigation credits will be offered for sale to other parties for domestic supply purposes in the Yakima river basin.</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Every Yakima basin water bank sponsor shall file with the department a schedule showing the amount to be charged for a mitigation credit, including all costs and fees.</w:t>
      </w:r>
    </w:p>
    <w:p>
      <w:pPr>
        <w:spacing w:before="0" w:after="0" w:line="408" w:lineRule="exact"/>
        <w:ind w:left="0" w:right="0" w:firstLine="576"/>
        <w:jc w:val="left"/>
      </w:pPr>
      <w:r>
        <w:rPr/>
        <w:t xml:space="preserve">(b) The department must post the schedule received from all Yakima basin water bank sponsors on its agency internet web site.</w:t>
      </w:r>
    </w:p>
    <w:p>
      <w:pPr>
        <w:spacing w:before="0" w:after="0" w:line="408" w:lineRule="exact"/>
        <w:ind w:left="0" w:right="0" w:firstLine="576"/>
        <w:jc w:val="left"/>
      </w:pPr>
      <w:r>
        <w:rPr/>
        <w:t xml:space="preserve">(2) No change may be made in the amount charged, or other costs and fees paid, unless the Yakima basin water bank sponsor provides notice to the department at least thirty days before the change goes into effect. The notice must plainly state the changes to be made in the schedule then on file with the department and the effective date of the changes. </w:t>
      </w:r>
    </w:p>
    <w:p>
      <w:pPr>
        <w:spacing w:before="0" w:after="0" w:line="408" w:lineRule="exact"/>
        <w:ind w:left="0" w:right="0" w:firstLine="576"/>
        <w:jc w:val="left"/>
      </w:pPr>
      <w:r>
        <w:rPr/>
        <w:t xml:space="preserve">(3) For water banks established prior to the effective date of this section, the Yakima basin water bank sponsor must submit a schedule to the department within ninety days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Yakima basin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spacing w:before="0" w:after="0" w:line="408" w:lineRule="exact"/>
        <w:ind w:left="0" w:right="0" w:firstLine="576"/>
        <w:jc w:val="left"/>
      </w:pPr>
      <w:r>
        <w:rPr/>
        <w:t xml:space="preserve">(2) Nothing in this section prohibits a Yakima basin water bank sponsor from establishing a water bank for specific limited purposes, such as providing mitigation credits for certain water uses or users, but not other uses or users. However, a Yakima basin water bank sponsor may not sell or otherwise provide mitigation credits to similarly situated uses or users on different prices or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shall require each Yakima basin water bank sponsor to:</w:t>
      </w:r>
    </w:p>
    <w:p>
      <w:pPr>
        <w:spacing w:before="0" w:after="0" w:line="408" w:lineRule="exact"/>
        <w:ind w:left="0" w:right="0" w:firstLine="576"/>
        <w:jc w:val="left"/>
      </w:pPr>
      <w:r>
        <w:rPr/>
        <w:t xml:space="preserve">(a) Demonstrate the availability of an adequate, reliable, and uninterruptable water supply to mitigate for the intended purposes for which mitigation is provided; and</w:t>
      </w:r>
    </w:p>
    <w:p>
      <w:pPr>
        <w:spacing w:before="0" w:after="0" w:line="408" w:lineRule="exact"/>
        <w:ind w:left="0" w:right="0" w:firstLine="576"/>
        <w:jc w:val="left"/>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spacing w:before="0" w:after="0" w:line="408" w:lineRule="exact"/>
        <w:ind w:left="0" w:right="0" w:firstLine="576"/>
        <w:jc w:val="left"/>
      </w:pPr>
      <w:r>
        <w:rPr/>
        <w:t xml:space="preserve">(2) The department shall ensure that new water uses for which mitigation is provided will not cause detriment or injury to existing water rights. This includes instream flows that otherwise could be adversely affected by the new water uses or lead to harm being caused to priority species of fish or wildlife or to critical habitat for species listed under the federal endangered species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bbf553788af45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83246bb1343c5" /><Relationship Type="http://schemas.openxmlformats.org/officeDocument/2006/relationships/footer" Target="/word/footer.xml" Id="R6bbf553788af450c" /></Relationships>
</file>