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0680859a074976" /></Relationships>
</file>

<file path=word/document.xml><?xml version="1.0" encoding="utf-8"?>
<w:document xmlns:w="http://schemas.openxmlformats.org/wordprocessingml/2006/main">
  <w:body>
    <w:p>
      <w:r>
        <w:t>H-1450.1</w:t>
      </w:r>
    </w:p>
    <w:p>
      <w:pPr>
        <w:jc w:val="center"/>
      </w:pPr>
      <w:r>
        <w:t>_______________________________________________</w:t>
      </w:r>
    </w:p>
    <w:p/>
    <w:p>
      <w:pPr>
        <w:jc w:val="center"/>
      </w:pPr>
      <w:r>
        <w:rPr>
          <w:b/>
        </w:rPr>
        <w:t>SUBSTITUTE HOUSE BILL 1180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Fey, Farrell, Fitzgibbon, Moscoso, Walkinshaw, Sells, Pollet, Ortiz-Self, Dunshee, Goodman, Bergquist, Tarleton, Ryu, Cody, Clibborn, Kagi, Morris, Peterson, Jinkins, Senn, McBride, Pettigrew, Sawyer, Gregerson, Robinson, and Reykdal)</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dedicated funding sources for high capacity transportation service; amending RCW 81.104.140, 81.104.160, 84.52.043, 84.52.043, 84.52.010, 84.52.010, and 84.04.120; reenacting and amending RCW 81.104.170; adding a new section to chapter 81.104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4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u w:val="single"/>
        </w:rPr>
        <w:t xml:space="preserve">(iii) Regular property tax as provided in section 4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4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4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u w:val="single"/>
        </w:rPr>
        <w:t xml:space="preserve">must</w:t>
      </w:r>
      <w:r>
        <w:rPr/>
        <w:t xml:space="preserve"> be produced as provided in chapter </w:t>
      </w:r>
      <w:r>
        <w:t>((</w:t>
      </w:r>
      <w:r>
        <w:rPr>
          <w:strike/>
        </w:rPr>
        <w:t xml:space="preserve">29.81A</w:t>
      </w:r>
      <w:r>
        <w:t>))</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eighty one-hundredths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In any county imposing a motor vehicle excise tax surcharge pursuant to RCW 81.100.060, the maximum tax rate under this section must be reduced to a rate equal to eighty one-hundredths of one percent on the value less the equivalent motor vehicle excise tax rate of the surcharge imposed pursuant to RCW 81.100.060. This rate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w:t>
      </w:r>
      <w:r>
        <w:t>((</w:t>
      </w:r>
      <w:r>
        <w:rPr>
          <w:strike/>
        </w:rPr>
        <w:t xml:space="preserve">may</w:t>
      </w:r>
      <w:r>
        <w:t>))</w:t>
      </w:r>
      <w:r>
        <w:rPr>
          <w:u w:val="single"/>
        </w:rPr>
        <w:t xml:space="preserve">imposing a tax under subsection (1) of this section may also</w:t>
      </w:r>
      <w:r>
        <w:rPr/>
        <w:t xml:space="preserve">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t>((</w:t>
      </w:r>
      <w:r>
        <w:rPr>
          <w:strike/>
        </w:rPr>
        <w:t xml:space="preserve">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strike/>
        </w:rPr>
        <w:t xml:space="preserve">Pierce County et al. v. State</w:t>
      </w:r>
      <w:r>
        <w:rPr>
          <w:strike/>
        </w:rPr>
        <w:t xml:space="preserve">, 159 Wn.2d 16, 148 P.3d 1002 (2006). In the case of bonds that were previously issued, the motor vehicle excise tax must comply with chapter 82.44 RCW as it existed on January 1, 1996.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pursuant to chapters 82.08 and 82.12 RCW upon the occurrence of any taxable event within the taxing district. </w:t>
      </w:r>
      <w:r>
        <w:rPr>
          <w:u w:val="single"/>
        </w:rPr>
        <w:t xml:space="preserve">Except for the tax imposed by regional transit authorities that include a county with a population of more than one million five hundred thousand, t</w:t>
      </w:r>
      <w:r>
        <w:rPr/>
        <w:t xml:space="preserve">he maximum rate of such tax </w:t>
      </w:r>
      <w:r>
        <w:t>((</w:t>
      </w:r>
      <w:r>
        <w:rPr>
          <w:strike/>
        </w:rPr>
        <w:t xml:space="preserve">shall</w:t>
      </w:r>
      <w:r>
        <w:t>))</w:t>
      </w:r>
      <w:r>
        <w:rPr>
          <w:u w:val="single"/>
        </w:rPr>
        <w:t xml:space="preserve">must</w:t>
      </w:r>
      <w:r>
        <w:rPr/>
        <w:t xml:space="preserve"> be approved by the voters and </w:t>
      </w:r>
      <w:r>
        <w:t>((</w:t>
      </w:r>
      <w:r>
        <w:rPr>
          <w:strike/>
        </w:rPr>
        <w:t xml:space="preserve">shall</w:t>
      </w:r>
      <w:r>
        <w:t>))</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 </w:t>
      </w:r>
      <w:r>
        <w:rPr>
          <w:u w:val="single"/>
        </w:rPr>
        <w:t xml:space="preserve">The maximum rate of such tax that may be imposed by a regional transit authority that includes a county with a population of more than one million five hundred thousand may not exceed 1.4 percent.</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u w:val="single"/>
        </w:rPr>
        <w:t xml:space="preserve">are</w:t>
      </w:r>
      <w:r>
        <w:rPr/>
        <w:t xml:space="preserve"> as follows: (a) The levy by the state </w:t>
      </w:r>
      <w:r>
        <w:t>((</w:t>
      </w:r>
      <w:r>
        <w:rPr>
          <w:strike/>
        </w:rPr>
        <w:t xml:space="preserve">shall</w:t>
      </w:r>
      <w:r>
        <w:t>))</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u w:val="single"/>
        </w:rPr>
        <w:t xml:space="preserve">(i)</w:t>
      </w:r>
      <w:r>
        <w:rPr/>
        <w:t xml:space="preserve"> The levy imposed by a county under RCW 84.52.140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take effect January 1, 2018.</w:t>
      </w:r>
    </w:p>
    <w:p/>
    <w:p>
      <w:pPr>
        <w:jc w:val="center"/>
      </w:pPr>
      <w:r>
        <w:rPr>
          <w:b/>
        </w:rPr>
        <w:t>--- END ---</w:t>
      </w:r>
    </w:p>
    <w:sectPr>
      <w:pgNumType w:start="1"/>
      <w:footerReference xmlns:r="http://schemas.openxmlformats.org/officeDocument/2006/relationships" r:id="R69af73c13ee547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fbdbc4f1a4b7a" /><Relationship Type="http://schemas.openxmlformats.org/officeDocument/2006/relationships/footer" Target="/word/footer.xml" Id="R69af73c13ee547f3" /></Relationships>
</file>