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76d3f1a0f042e5" /></Relationships>
</file>

<file path=word/document.xml><?xml version="1.0" encoding="utf-8"?>
<w:document xmlns:w="http://schemas.openxmlformats.org/wordprocessingml/2006/main">
  <w:body>
    <w:p>
      <w:r>
        <w:t>H-2115.1</w:t>
      </w:r>
    </w:p>
    <w:p>
      <w:pPr>
        <w:jc w:val="center"/>
      </w:pPr>
      <w:r>
        <w:t>_______________________________________________</w:t>
      </w:r>
    </w:p>
    <w:p/>
    <w:p>
      <w:pPr>
        <w:jc w:val="center"/>
      </w:pPr>
      <w:r>
        <w:rPr>
          <w:b/>
        </w:rPr>
        <w:t>SECOND SUBSTITUTE HOUSE BILL 1174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Van De Wege, Taylor, Fitzgibbon, Senn, Shea, Magendanz, Springer, Tarleton, Ortiz-Self, Gregerson, Ormsby, Hunter, Ryu, S. Hunt, Riccelli, Stanford, Tharinger, Jinkins, Walkinshaw, Fey, Clibborn, Farrell, and Goodman)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flame retardants; amending RCW 70.240.020, 70.240.010, and 70.240.050; and adding new sections to chapter 70.240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w:t>
      </w:r>
      <w:r>
        <w:rPr>
          <w:strike/>
        </w:rPr>
        <w:t xml:space="preserve">(2)</w:t>
      </w:r>
      <w:r>
        <w:rPr/>
        <w:t xml:space="preserve">)) </w:t>
      </w:r>
      <w:r>
        <w:rPr>
          <w:u w:val="single"/>
        </w:rPr>
        <w:t xml:space="preserve">(3)</w:t>
      </w:r>
      <w:r>
        <w:rPr/>
        <w:t xml:space="preserve">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w:t>
      </w:r>
      <w:r>
        <w:rPr>
          <w:u w:val="single"/>
        </w:rPr>
        <w:t xml:space="preserve">Beginning July 1, 2016, no manufacturer, wholesaler, or retailer may manufacture, knowingly sell, offer for sale, distribute for sale, or distribute for use in this state children's products or</w:t>
      </w:r>
      <w:r>
        <w:rPr/>
        <w:t xml:space="preserve"> </w:t>
      </w:r>
      <w:r>
        <w:rPr>
          <w:u w:val="single"/>
        </w:rPr>
        <w:t xml:space="preserve">residential upholstered furniture, as defined in RCW 70.76.010, containing TDCPP or TCEP in amounts greater than one thousand parts per million in any product component.</w:t>
      </w:r>
    </w:p>
    <w:p>
      <w:pPr>
        <w:spacing w:before="0" w:after="0" w:line="408" w:lineRule="exact"/>
        <w:ind w:left="0" w:right="0" w:firstLine="576"/>
        <w:jc w:val="left"/>
      </w:pPr>
      <w:r>
        <w:rPr>
          <w:u w:val="single"/>
        </w:rPr>
        <w:t xml:space="preserve">(3)</w:t>
      </w:r>
      <w:r>
        <w:rPr/>
        <w:t xml:space="preserve">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no manufacturer, wholesaler, or retailer may manufacture, knowingly sell, offer for sale, distribute for sale, or distribute for use in this state residential upholstered furniture, as defined in RCW 70.76.010, or children's products containing a flame retardant in any product component in amounts greater than one thousand parts per million identified by the department as a high priority chemical of high concern for children as required under RCW 70.240.030.</w:t>
      </w:r>
    </w:p>
    <w:p>
      <w:pPr>
        <w:spacing w:before="0" w:after="0" w:line="408" w:lineRule="exact"/>
        <w:ind w:left="0" w:right="0" w:firstLine="576"/>
        <w:jc w:val="left"/>
      </w:pPr>
      <w:r>
        <w:rPr/>
        <w:t xml:space="preserve">(2) TBBPA, chemical abstracts service number 79-94-7 as of the effective date of the section, that has undergone a reactive process and is covalently bonded to a polymer in a product or product component is not subject to the restrictions in subsection (1) of this section.</w:t>
      </w:r>
    </w:p>
    <w:p>
      <w:pPr>
        <w:spacing w:before="0" w:after="0" w:line="408" w:lineRule="exact"/>
        <w:ind w:left="0" w:right="0" w:firstLine="576"/>
        <w:jc w:val="left"/>
      </w:pPr>
      <w:r>
        <w:rPr/>
        <w:t xml:space="preserve">(3) Antimony and antimony compounds, chemical abstracts service number 7440-36-0 as of the effective date of this section, are not flame retardants for purposes of this section and are not subject to the restrictions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By rule, the department may identify a high priority chemical, as defined in RCW 70.240.010, as a chemical of high concern for children only if it meets one or more of the criteria of RCW 70.240.030(1) (a) through (c).</w:t>
      </w:r>
    </w:p>
    <w:p>
      <w:pPr>
        <w:spacing w:before="0" w:after="0" w:line="408" w:lineRule="exact"/>
        <w:ind w:left="0" w:right="0" w:firstLine="576"/>
        <w:jc w:val="left"/>
      </w:pPr>
      <w:r>
        <w:rPr/>
        <w:t xml:space="preserve">(2) In addition to the requirements of subsection (1) of this section, before a flame retardant may be identified as a high priority chemical of high concern for children after January 1, 2015, the department must also submit a report to the legislature no later than at the time of publication of the notice of a rule-making hearing required under RCW 34.05.320. The report to the legislature must contain:</w:t>
      </w:r>
    </w:p>
    <w:p>
      <w:pPr>
        <w:spacing w:before="0" w:after="0" w:line="408" w:lineRule="exact"/>
        <w:ind w:left="0" w:right="0" w:firstLine="576"/>
        <w:jc w:val="left"/>
      </w:pPr>
      <w:r>
        <w:rPr/>
        <w:t xml:space="preserve">(a) A determination whether children or vulnerable populations are likely to be exposed to the chemical directly or indirectly from its use in products. The determination of the department must be made after an evaluation of available information on:</w:t>
      </w:r>
    </w:p>
    <w:p>
      <w:pPr>
        <w:spacing w:before="0" w:after="0" w:line="408" w:lineRule="exact"/>
        <w:ind w:left="0" w:right="0" w:firstLine="576"/>
        <w:jc w:val="left"/>
      </w:pPr>
      <w:r>
        <w:rPr/>
        <w:t xml:space="preserve">(i) Levels of the flame retardants in consumer products;</w:t>
      </w:r>
    </w:p>
    <w:p>
      <w:pPr>
        <w:spacing w:before="0" w:after="0" w:line="408" w:lineRule="exact"/>
        <w:ind w:left="0" w:right="0" w:firstLine="576"/>
        <w:jc w:val="left"/>
      </w:pPr>
      <w:r>
        <w:rPr/>
        <w:t xml:space="preserve">(ii) Migration of the flame retardants out of products during and after use; and</w:t>
      </w:r>
    </w:p>
    <w:p>
      <w:pPr>
        <w:spacing w:before="0" w:after="0" w:line="408" w:lineRule="exact"/>
        <w:ind w:left="0" w:right="0" w:firstLine="576"/>
        <w:jc w:val="left"/>
      </w:pPr>
      <w:r>
        <w:rPr/>
        <w:t xml:space="preserve">(iii) Levels of the flame retardants in humans and the environment, including but not limited to the home environment;</w:t>
      </w:r>
    </w:p>
    <w:p>
      <w:pPr>
        <w:spacing w:before="0" w:after="0" w:line="408" w:lineRule="exact"/>
        <w:ind w:left="0" w:right="0" w:firstLine="576"/>
        <w:jc w:val="left"/>
      </w:pPr>
      <w:r>
        <w:rPr/>
        <w:t xml:space="preserve">(b) A review of available toxicity data to evaluate the health concerns for children or vulnerable populations; and</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w:t>
      </w:r>
    </w:p>
    <w:p>
      <w:pPr>
        <w:spacing w:before="0" w:after="0" w:line="408" w:lineRule="exact"/>
        <w:ind w:left="0" w:right="0" w:firstLine="576"/>
        <w:jc w:val="left"/>
      </w:pPr>
      <w:r>
        <w:rPr/>
        <w:t xml:space="preserve">(3) The department must identify the sources of information it relied upon in making the determination required in subsection (2) of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at the request of the department, a manufacturer of residential upholstered furniture or children's products shall, within sixty days of the request, submit a certificate of compliance stating that the product or product component meets the requirements of section 2 of this act. A manufacturer required under any other state statute to provide a certificate of compliance may develop one certificate containing all required information.</w:t>
      </w:r>
    </w:p>
    <w:p>
      <w:pPr>
        <w:spacing w:before="0" w:after="0" w:line="408" w:lineRule="exact"/>
        <w:ind w:left="0" w:right="0" w:firstLine="576"/>
        <w:jc w:val="left"/>
      </w:pPr>
      <w:r>
        <w:rPr/>
        <w:t xml:space="preserve">(2) The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present in the product or product component that act as flame retardants;</w:t>
      </w:r>
    </w:p>
    <w:p>
      <w:pPr>
        <w:spacing w:before="0" w:after="0" w:line="408" w:lineRule="exact"/>
        <w:ind w:left="0" w:right="0" w:firstLine="576"/>
        <w:jc w:val="left"/>
      </w:pPr>
      <w:r>
        <w:rPr/>
        <w:t xml:space="preserve">(b) The specific basis upon which an exemption, if applicable, is claimed; and</w:t>
      </w:r>
    </w:p>
    <w:p>
      <w:pPr>
        <w:spacing w:before="0" w:after="0" w:line="408" w:lineRule="exact"/>
        <w:ind w:left="0" w:right="0" w:firstLine="576"/>
        <w:jc w:val="left"/>
      </w:pPr>
      <w:r>
        <w:rPr/>
        <w:t xml:space="preserve">(c) The signature of an authorized official of the manufacturing company.</w:t>
      </w:r>
    </w:p>
    <w:p>
      <w:pPr>
        <w:spacing w:before="0" w:after="0" w:line="408" w:lineRule="exact"/>
        <w:ind w:left="0" w:right="0" w:firstLine="576"/>
        <w:jc w:val="left"/>
      </w:pPr>
      <w:r>
        <w:rPr/>
        <w:t xml:space="preserve">(3)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t xml:space="preserve"> </w:t>
      </w:r>
      <w:r>
        <w:rPr>
          <w:u w:val="single"/>
        </w:rPr>
        <w:t xml:space="preserve">A 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0" w:after="0" w:line="408" w:lineRule="exact"/>
        <w:ind w:left="0" w:right="0" w:firstLine="576"/>
        <w:jc w:val="left"/>
      </w:pPr>
      <w:r>
        <w:rPr>
          <w:u w:val="single"/>
        </w:rPr>
        <w:t xml:space="preserve">(13) "TCEP" means the chemical (tris(2-chloroethyl)phosphate); chemical abstracts service number 115-96-8, as of the effective date of this section.</w:t>
      </w:r>
    </w:p>
    <w:p>
      <w:pPr>
        <w:spacing w:before="0" w:after="0" w:line="408" w:lineRule="exact"/>
        <w:ind w:left="0" w:right="0" w:firstLine="576"/>
        <w:jc w:val="left"/>
      </w:pPr>
      <w:r>
        <w:rPr>
          <w:u w:val="single"/>
        </w:rPr>
        <w:t xml:space="preserve">(14) "TDCPP" means the chemical (tris(1,3-dichloro-2- propyl)phosphate); chemical abstracts service number 13674-87-8, as of the effective date of this section.</w:t>
      </w:r>
    </w:p>
    <w:p>
      <w:pPr>
        <w:spacing w:before="0" w:after="0" w:line="408" w:lineRule="exact"/>
        <w:ind w:left="0" w:right="0" w:firstLine="576"/>
        <w:jc w:val="left"/>
      </w:pPr>
      <w:r>
        <w:rPr>
          <w:u w:val="single"/>
        </w:rPr>
        <w:t xml:space="preserve">(15) "Technically feasible" means an alternative that is available at a cost and in sufficient quantity to permit the manufacturer to produce an economically viable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 containing a chemical restricted under this chapter made in casual or isolated sales as defined in RCW 82.04.040 or by a nonprofit organization is exempt from this chapter.</w:t>
      </w:r>
    </w:p>
    <w:p/>
    <w:p>
      <w:pPr>
        <w:jc w:val="center"/>
      </w:pPr>
      <w:r>
        <w:rPr>
          <w:b/>
        </w:rPr>
        <w:t>--- END ---</w:t>
      </w:r>
    </w:p>
    <w:sectPr>
      <w:pgNumType w:start="1"/>
      <w:footerReference xmlns:r="http://schemas.openxmlformats.org/officeDocument/2006/relationships" r:id="R74d2337ae8d142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f232df26324053" /><Relationship Type="http://schemas.openxmlformats.org/officeDocument/2006/relationships/footer" Target="/word/footer.xml" Id="R74d2337ae8d142ee" /></Relationships>
</file>