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4c5f1aa281451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Dunshee, Gregerson, and DeBolt; by request of Governor Inslee)</w:t>
      </w:r>
    </w:p>
    <w:p/>
    <w:p>
      <w:r>
        <w:rPr>
          <w:t xml:space="preserve">READ FIRST TIME 04/01/15.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2015-2017 fiscal biennium, and all costs incidental thereto, the state finance committee is authorized to issue general obligation bonds of the state of Washington in the sum of two billion three hundred thirty-two million four hundred fifty-six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one hundred eighty-five million five hundred sixty-two thousand dollars to remain in the state building construction account created by RCW 43.83.020;</w:t>
      </w:r>
    </w:p>
    <w:p>
      <w:pPr>
        <w:spacing w:before="0" w:after="0" w:line="408" w:lineRule="exact"/>
        <w:ind w:left="0" w:right="0" w:firstLine="576"/>
        <w:jc w:val="left"/>
      </w:pPr>
      <w:r>
        <w:rPr/>
        <w:t xml:space="preserve">(b) One hundred twenty-three million eight hundred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3e74491a8b40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36ae5ce4a42b7" /><Relationship Type="http://schemas.openxmlformats.org/officeDocument/2006/relationships/footer" Target="/word/footer.xml" Id="R583e74491a8b40f0" /></Relationships>
</file>