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4b9109dd19423d" /></Relationships>
</file>

<file path=word/document.xml><?xml version="1.0" encoding="utf-8"?>
<w:document xmlns:w="http://schemas.openxmlformats.org/wordprocessingml/2006/main">
  <w:body>
    <w:p>
      <w:r>
        <w:t>H-2116.1</w:t>
      </w:r>
    </w:p>
    <w:p>
      <w:pPr>
        <w:jc w:val="center"/>
      </w:pPr>
      <w:r>
        <w:t>_______________________________________________</w:t>
      </w:r>
    </w:p>
    <w:p/>
    <w:p>
      <w:pPr>
        <w:jc w:val="center"/>
      </w:pPr>
      <w:r>
        <w:rPr>
          <w:b/>
        </w:rPr>
        <w:t>SECOND SUBSTITUTE HOUSE BILL 1152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Fitzgibbon, Stanford, Dunshee, and Tharinger)</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of forage fish resources; and amending RCW 77.32.010.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2014 c 48 s 26 are each amended to read as follows:</w:t>
      </w:r>
    </w:p>
    <w:p>
      <w:pPr>
        <w:spacing w:before="0" w:after="0" w:line="408" w:lineRule="exact"/>
        <w:ind w:left="0" w:right="0" w:firstLine="576"/>
        <w:jc w:val="left"/>
      </w:pPr>
      <w:r>
        <w:rPr/>
        <w:t xml:space="preserve">(1) Except as otherwise provided in this chapter or department rule, a recreational license issued by the director is required to hunt, fish, or take wildlife or seaweed. A recreational fishing or shellfish license is not required for carp</w:t>
      </w:r>
      <w:r>
        <w:t>((</w:t>
      </w:r>
      <w:r>
        <w:rPr>
          <w:strike/>
        </w:rPr>
        <w:t xml:space="preserve">, smelt,</w:t>
      </w:r>
      <w:r>
        <w:t>))</w:t>
      </w:r>
      <w:r>
        <w:rPr/>
        <w:t xml:space="preserve"> and crawfish, and a hunting license is not required for bullfrogs.</w:t>
      </w:r>
    </w:p>
    <w:p>
      <w:pPr>
        <w:spacing w:before="0" w:after="0" w:line="408" w:lineRule="exact"/>
        <w:ind w:left="0" w:right="0" w:firstLine="576"/>
        <w:jc w:val="left"/>
      </w:pPr>
      <w:r>
        <w:rPr/>
        <w:t xml:space="preserve">(2) A pass or permit issued under RCW 79A.80.020, 79A.80.030, or 79A.80.040 is required to park or operate a motor vehicle on a recreation site or lands</w:t>
      </w:r>
      <w:r>
        <w:t>((</w:t>
      </w:r>
      <w:r>
        <w:rPr>
          <w:strike/>
        </w:rPr>
        <w:t xml:space="preserve">,</w:t>
      </w:r>
      <w:r>
        <w:t>))</w:t>
      </w:r>
      <w:r>
        <w:rPr/>
        <w:t xml:space="preserve"> as defined in RCW 79A.80.010.</w:t>
      </w:r>
    </w:p>
    <w:p>
      <w:pPr>
        <w:spacing w:before="0" w:after="0" w:line="408" w:lineRule="exact"/>
        <w:ind w:left="0" w:right="0" w:firstLine="576"/>
        <w:jc w:val="left"/>
      </w:pPr>
      <w:r>
        <w:rPr/>
        <w:t xml:space="preserve">(3)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
      <w:pPr>
        <w:jc w:val="center"/>
      </w:pPr>
      <w:r>
        <w:rPr>
          <w:b/>
        </w:rPr>
        <w:t>--- END ---</w:t>
      </w:r>
    </w:p>
    <w:sectPr>
      <w:pgNumType w:start="1"/>
      <w:footerReference xmlns:r="http://schemas.openxmlformats.org/officeDocument/2006/relationships" r:id="R6ecd27e3d5a947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a7bca9878b4fc0" /><Relationship Type="http://schemas.openxmlformats.org/officeDocument/2006/relationships/footer" Target="/word/footer.xml" Id="R6ecd27e3d5a94766" /></Relationships>
</file>