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fdce542164a3a" /></Relationships>
</file>

<file path=word/document.xml><?xml version="1.0" encoding="utf-8"?>
<w:document xmlns:w="http://schemas.openxmlformats.org/wordprocessingml/2006/main">
  <w:body>
    <w:p>
      <w:r>
        <w:t>H-1277.1</w:t>
      </w:r>
    </w:p>
    <w:p>
      <w:pPr>
        <w:jc w:val="center"/>
      </w:pPr>
      <w:r>
        <w:t>_______________________________________________</w:t>
      </w:r>
    </w:p>
    <w:p/>
    <w:p>
      <w:pPr>
        <w:jc w:val="center"/>
      </w:pPr>
      <w:r>
        <w:rPr>
          <w:b/>
        </w:rPr>
        <w:t>SUBSTITUTE HOUSE BILL 1152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Fitzgibbon, Stanford, Dunshee, and Tharinger)</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forage fish resources; amending RCW 77.32.010;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w:t>
      </w:r>
      <w:r>
        <w:t>((</w:t>
      </w:r>
      <w:r>
        <w:rPr>
          <w:strike/>
        </w:rPr>
        <w:t xml:space="preserve">,</w:t>
      </w:r>
      <w:r>
        <w:t>))</w:t>
      </w:r>
      <w:r>
        <w:rPr/>
        <w:t xml:space="preserve">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departments of natural resources and fish and wildlife must collaborate to conduct a survey of the location of surf smelt and sand lance spawning grounds throughout Puget Sound, including the Strait of Juan de Fuca.</w:t>
      </w:r>
    </w:p>
    <w:p>
      <w:pPr>
        <w:spacing w:before="0" w:after="0" w:line="408" w:lineRule="exact"/>
        <w:ind w:left="0" w:right="0" w:firstLine="576"/>
        <w:jc w:val="left"/>
      </w:pPr>
      <w:r>
        <w:rPr/>
        <w:t xml:space="preserve">(2) To the extent practicable, the departments of natural resources and fish and wildlife must conduct the survey required under this section utilizing the veterans conservation corps created under RCW 43.60A.150 or the Puget Sound Corps created under chapter 43.220 RCW, with priority given to the selection of veterans from either program.</w:t>
      </w:r>
    </w:p>
    <w:p>
      <w:pPr>
        <w:spacing w:before="0" w:after="0" w:line="408" w:lineRule="exact"/>
        <w:ind w:left="0" w:right="0" w:firstLine="576"/>
        <w:jc w:val="left"/>
      </w:pPr>
      <w:r>
        <w:rPr/>
        <w:t xml:space="preserve">(3) The results from the survey must be used by the departments of natural resources and fish and wildlife to expand knowledge of documented spawning habitat areas.</w:t>
      </w:r>
    </w:p>
    <w:p>
      <w:pPr>
        <w:spacing w:before="0" w:after="0" w:line="408" w:lineRule="exact"/>
        <w:ind w:left="0" w:right="0" w:firstLine="576"/>
        <w:jc w:val="left"/>
      </w:pPr>
      <w:r>
        <w:rPr/>
        <w:t xml:space="preserve">(4) The habitat survey required by this section must be completed by June 30, 2017, and the survey results must be made available to the general public.</w:t>
      </w:r>
    </w:p>
    <w:p>
      <w:pPr>
        <w:spacing w:before="0" w:after="0" w:line="408" w:lineRule="exact"/>
        <w:ind w:left="0" w:right="0" w:firstLine="576"/>
        <w:jc w:val="left"/>
      </w:pPr>
      <w:r>
        <w:rPr/>
        <w:t xml:space="preserve">(5)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conduct a mid-water trawl survey at various depths throughout Puget Sound to evaluate the prevalence of adults of all species of forage fish. The department must integrate the results of the survey into existing Puget Sound ecosystem assessments to assist the department of fish and wildlife in the management and conservation of forage fish species and the species that prey upon them.</w:t>
      </w:r>
    </w:p>
    <w:p>
      <w:pPr>
        <w:spacing w:before="0" w:after="0" w:line="408" w:lineRule="exact"/>
        <w:ind w:left="0" w:right="0" w:firstLine="576"/>
        <w:jc w:val="left"/>
      </w:pPr>
      <w:r>
        <w:rPr/>
        <w:t xml:space="preserve">(2) The department of fish and wildlife must complete the survey required by this section by June 30, 2017, and the survey results must be made available to the general public.</w:t>
      </w:r>
    </w:p>
    <w:p>
      <w:pPr>
        <w:spacing w:before="0" w:after="0" w:line="408" w:lineRule="exact"/>
        <w:ind w:left="0" w:right="0" w:firstLine="576"/>
        <w:jc w:val="left"/>
      </w:pPr>
      <w:r>
        <w:rPr/>
        <w:t xml:space="preserve">(3) This section expires July 1, 2018.</w:t>
      </w:r>
    </w:p>
    <w:p/>
    <w:p>
      <w:pPr>
        <w:jc w:val="center"/>
      </w:pPr>
      <w:r>
        <w:rPr>
          <w:b/>
        </w:rPr>
        <w:t>--- END ---</w:t>
      </w:r>
    </w:p>
    <w:sectPr>
      <w:pgNumType w:start="1"/>
      <w:footerReference xmlns:r="http://schemas.openxmlformats.org/officeDocument/2006/relationships" r:id="Rcad31ff43f2549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057c764ede4a3c" /><Relationship Type="http://schemas.openxmlformats.org/officeDocument/2006/relationships/footer" Target="/word/footer.xml" Id="Rcad31ff43f25498c" /></Relationships>
</file>