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7424ff7e184125" /></Relationships>
</file>

<file path=word/document.xml><?xml version="1.0" encoding="utf-8"?>
<w:document xmlns:w="http://schemas.openxmlformats.org/wordprocessingml/2006/main">
  <w:body>
    <w:p>
      <w:r>
        <w:t>H-0554.1</w:t>
      </w:r>
    </w:p>
    <w:p>
      <w:pPr>
        <w:jc w:val="center"/>
      </w:pPr>
      <w:r>
        <w:t>_______________________________________________</w:t>
      </w:r>
    </w:p>
    <w:p/>
    <w:p>
      <w:pPr>
        <w:jc w:val="center"/>
      </w:pPr>
      <w:r>
        <w:rPr>
          <w:b/>
        </w:rPr>
        <w:t>HOUSE BILL 1150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Muri, Kilduff, Appleton, Lytton, Klippert, Ortiz-Self, Gregerson, Bergquist, Jinkins, and Fey</w:t>
      </w:r>
    </w:p>
    <w:p/>
    <w:p>
      <w:r>
        <w:rPr>
          <w:t xml:space="preserve">Read first time 01/14/15.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notifying the military regarding child abuse and neglect allegations of families with an active military status; and reenacting and amending RCW 26.44.030.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2013 c 273 s 2, 2013 c 48 s 2, and 2013 c 23 s 43 are each reenacted and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early learning, licensed or certified child care providers or their employees, employee of the department, juvenile probation officer, placement and liaison specialist, responsible living skills program staff, HOPE center staff, or state family and children's ombuds or any volunteer in the ombuds's office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13, and 26 RCW,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of social and health services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w:t>
      </w:r>
      <w:r>
        <w:rPr>
          <w:u w:val="single"/>
        </w:rPr>
        <w:t xml:space="preserve">, including military law enforcement, if appropriate</w:t>
      </w:r>
      <w:r>
        <w:rPr/>
        <w:t xml:space="preserv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(11)(a)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Poses a risk of "imminent harm" consistent with the definition provided in RCW 13.34.050, which includes, but is not limited to, sexual abuse and sexual exploitation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 or by the department of early learning.</w:t>
      </w:r>
    </w:p>
    <w:p>
      <w:pPr>
        <w:spacing w:before="0" w:after="0" w:line="408" w:lineRule="exact"/>
        <w:ind w:left="0" w:right="0" w:firstLine="576"/>
        <w:jc w:val="left"/>
      </w:pPr>
      <w:r>
        <w:rPr/>
        <w:t xml:space="preserve">(c)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(12)(a)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(13)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however, upon parental agreement, the family assessment response period may be extended up to ninety days;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sign an agreement to participate in services before services are initiated that informs the parents of their rights under family assessment response, all of their options, and the options the department has if the parents do not sign the consent form.</w:t>
      </w:r>
    </w:p>
    <w:p>
      <w:pPr>
        <w:spacing w:before="0" w:after="0" w:line="408" w:lineRule="exact"/>
        <w:ind w:left="0" w:right="0" w:firstLine="576"/>
        <w:jc w:val="left"/>
      </w:pPr>
      <w:r>
        <w:rPr/>
        <w:t xml:space="preserve">(14)(a)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(15)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(16)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(17)(a)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(18)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(19)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(20)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u w:val="single"/>
        </w:rPr>
        <w:t xml:space="preserve">(21)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
      <w:pPr>
        <w:jc w:val="center"/>
      </w:pPr>
      <w:r>
        <w:rPr>
          <w:b/>
        </w:rPr>
        <w:t>--- END ---</w:t>
      </w:r>
    </w:p>
    <w:sectPr>
      <w:pgNumType w:start="1"/>
      <w:footerReference xmlns:r="http://schemas.openxmlformats.org/officeDocument/2006/relationships" r:id="Rb551641cd7584a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322d4912a44386" /><Relationship Type="http://schemas.openxmlformats.org/officeDocument/2006/relationships/footer" Target="/word/footer.xml" Id="Rb551641cd7584ad6" /></Relationships>
</file>