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8b1970765241ff" /></Relationships>
</file>

<file path=word/document.xml><?xml version="1.0" encoding="utf-8"?>
<w:document xmlns:w="http://schemas.openxmlformats.org/wordprocessingml/2006/main">
  <w:body>
    <w:p>
      <w:r>
        <w:t>H-0439.2</w:t>
      </w:r>
    </w:p>
    <w:p>
      <w:pPr>
        <w:jc w:val="center"/>
      </w:pPr>
      <w:r>
        <w:t>_______________________________________________</w:t>
      </w:r>
    </w:p>
    <w:p/>
    <w:p>
      <w:pPr>
        <w:jc w:val="center"/>
      </w:pPr>
      <w:r>
        <w:rPr>
          <w:b/>
        </w:rPr>
        <w:t>HOUSE BILL 1146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Pollet, Manweller, Zeiger, Bergquist, and Tharinger</w:t>
      </w:r>
    </w:p>
    <w:p/>
    <w:p>
      <w:r>
        <w:rPr>
          <w:t xml:space="preserve">Read first time 01/14/15.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fiscal matters; amending RCW 28B.15.067, 28B.77.070, 28B.77.100, and 28B.145.030; reenacting and amending RCW 28B.15.068; adding a new section to chapter 28B.10 RCW; repealing RCW 28B.10.780; and repealing 2011 1st sp.s. c 50 s 928.</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the 2019-20 academic year, it is the goal of the legislature to make state appropriations to the state universities, the regional universities, and The Evergreen State College in the omnibus appropriations act for at least fifty percent of the total amount of funds the institutions received for full-time resident undergraduates from state appropriations and the operating fee portion of tuition and fees in the 2014-15 academic year. Total appropriations for resident undergraduates shall be increased by an inflation factor each year, measured by the implicit price deflator for personal consumption expenditures for the United States for the previous calendar year, as compiled by the bureau of economic analysis of the United States department of commerce and reported in the most recent quarterly publication of the economic and revenue forecast council or successor agency.</w:t>
      </w:r>
    </w:p>
    <w:p>
      <w:pPr>
        <w:spacing w:before="0" w:after="0" w:line="408" w:lineRule="exact"/>
        <w:ind w:left="0" w:right="0" w:firstLine="576"/>
        <w:jc w:val="left"/>
      </w:pPr>
      <w:r>
        <w:rPr/>
        <w:t xml:space="preserve">(2) Appropriations shall be increased to the state universities, the regional universities, and The Evergreen State College in equal amounts over a four-year period beginning in the 2015-16 academic year in order to meet or exceed the fifty percent funding goal described in subsection (1) of this section by the 2019-20 academic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w:t>
      </w:r>
      <w:r>
        <w:rPr>
          <w:u w:val="single"/>
        </w:rPr>
        <w:t xml:space="preserve">(a)</w:t>
      </w:r>
      <w:r>
        <w:rPr/>
        <w:t xml:space="preserve"> Beginning in the 2011-12 academic year, reductions or increases in full-time tuition fees shall be as provided in the omnibus appropriations act for resident undergraduate students at community and technical colleges. The </w:t>
      </w:r>
      <w:r>
        <w:t>((</w:t>
      </w:r>
      <w:r>
        <w:rPr>
          <w:strike/>
        </w:rPr>
        <w:t xml:space="preserve">governing boards of the state universities, regional universities, and The Evergreen State College; and the</w:t>
      </w:r>
      <w:r>
        <w:t>))</w:t>
      </w:r>
      <w:r>
        <w:rPr/>
        <w:t xml:space="preserv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w:t>
      </w:r>
      <w:r>
        <w:t>((</w:t>
      </w:r>
      <w:r>
        <w:rPr>
          <w:strike/>
        </w:rPr>
        <w:t xml:space="preserve">Except during the 2013-2015 fiscal biennium, the state board for community and technical colleges may pilot or institute differential tuition models. The board may define scale, scope, and rationale for the models.</w:t>
      </w:r>
      <w:r>
        <w:t>))</w:t>
      </w:r>
      <w:r>
        <w:rPr>
          <w:u w:val="single"/>
        </w:rPr>
        <w:t xml:space="preserve">The state board for community and technical colleges may not reduce enrollment levels below fiscal year 2014 budgeted levels in order to improve or alter the per-student funding amount.</w:t>
      </w:r>
    </w:p>
    <w:p>
      <w:pPr>
        <w:spacing w:before="0" w:after="0" w:line="408" w:lineRule="exact"/>
        <w:ind w:left="0" w:right="0" w:firstLine="576"/>
        <w:jc w:val="left"/>
      </w:pPr>
      <w:r>
        <w:rPr>
          <w:u w:val="single"/>
        </w:rPr>
        <w:t xml:space="preserve">(b) Before reducing or increasing tuition for each academic year, the state board for community and technical colleges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(3)(a) Beginning with the 2011-12 academic year </w:t>
      </w:r>
      <w:r>
        <w:t>((</w:t>
      </w:r>
      <w:r>
        <w:rPr>
          <w:strike/>
        </w:rPr>
        <w:t xml:space="preserve">and through the end of the 2014-15 academic year</w:t>
      </w:r>
      <w:r>
        <w:t>))</w:t>
      </w:r>
      <w:r>
        <w:rPr/>
        <w:t xml:space="preserve">, the governing boards of the state universities, the regional universities, and The Evergreen State College may reduce or increase full-time tuition fees for all students </w:t>
      </w:r>
      <w:r>
        <w:rPr>
          <w:u w:val="single"/>
        </w:rPr>
        <w:t xml:space="preserve">other than resident undergraduates</w:t>
      </w:r>
      <w:r>
        <w:rPr/>
        <w:t xml:space="preserve">, including </w:t>
      </w:r>
      <w:r>
        <w:rPr>
          <w:u w:val="single"/>
        </w:rPr>
        <w:t xml:space="preserve">nonresident students,</w:t>
      </w:r>
      <w:r>
        <w:rPr/>
        <w:t xml:space="preserve"> summer school students</w:t>
      </w:r>
      <w:r>
        <w:rPr>
          <w:u w:val="single"/>
        </w:rPr>
        <w:t xml:space="preserve">,</w:t>
      </w:r>
      <w:r>
        <w:rPr/>
        <w:t xml:space="preserve"> and students in other self-supporting degree programs. Percentage increases in full-time tuition fees may exceed the fiscal growth factor. Reductions or increases may be made for all or portions of an institution's programs, campuses, courses, or students</w:t>
      </w:r>
      <w:r>
        <w:t>((</w:t>
      </w:r>
      <w:r>
        <w:rPr>
          <w:strike/>
        </w:rPr>
        <w:t xml:space="preserve">; however, during the 2013-2015 fiscal biennium, reductions or increases in tuition must be uniform among resident undergraduate students</w:t>
      </w:r>
      <w:r>
        <w:t>))</w:t>
      </w:r>
      <w:r>
        <w:rPr/>
        <w:t xml:space="preserve">.</w:t>
      </w:r>
    </w:p>
    <w:p>
      <w:pPr>
        <w:spacing w:before="0" w:after="0" w:line="408" w:lineRule="exact"/>
        <w:ind w:left="0" w:right="0" w:firstLine="576"/>
        <w:jc w:val="left"/>
      </w:pPr>
      <w:r>
        <w:rPr/>
        <w:t xml:space="preserve">(b) </w:t>
      </w:r>
      <w:r>
        <w:rPr>
          <w:u w:val="single"/>
        </w:rPr>
        <w:t xml:space="preserve">Beginning with the 2015-16 academic year, the governing boards of the state universities, the regional universities, and The Evergreen State College are limited in their tuition-setting authority; these institutions are authorized to set the operating fee portion of tuition fees for full-time resident undergraduates at no more than the level necessary to maintain the total amount of funds the institutions received for full-time resident undergraduates from state appropriations and the operating fee portion of tuition fees in the 2014-15 academic year, except that the governing boards may increase the amount each year by an inflation factor, measured by the implicit price deflator for personal consumption expenditures for the United States for the previous calendar year, as compiled by the bureau of economic analysis of the United States department of commerce and reported in the most recent quarterly publication of the economic and revenue forecast council or successor agency. The governing boards shall not reduce full-time undergraduate enrollment levels below fiscal year 2014 budgeted levels in order to improve or alter the per-student funding amount.</w:t>
      </w:r>
    </w:p>
    <w:p>
      <w:pPr>
        <w:spacing w:before="0" w:after="0" w:line="408" w:lineRule="exact"/>
        <w:ind w:left="0" w:right="0" w:firstLine="576"/>
        <w:jc w:val="left"/>
      </w:pPr>
      <w:r>
        <w:rPr>
          <w:u w:val="single"/>
        </w:rPr>
        <w:t xml:space="preserve">(c)</w:t>
      </w:r>
      <w:r>
        <w:rPr/>
        <w:t xml:space="preserve">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t>((</w:t>
      </w:r>
      <w:r>
        <w:rPr>
          <w:strike/>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strike/>
        </w:rPr>
        <w:t xml:space="preserve">(4) Beginning with the 2015-16 academic year 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strike/>
        </w:rPr>
        <w:t xml:space="preserve">(5)</w:t>
      </w:r>
      <w:r>
        <w:t>))</w:t>
      </w:r>
      <w:r>
        <w:rPr>
          <w:u w:val="single"/>
        </w:rPr>
        <w:t xml:space="preserve">(4)</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u w:val="single"/>
        </w:rPr>
        <w:t xml:space="preserve">(5)</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w:t>
      </w:r>
      <w:r>
        <w:t>))</w:t>
      </w:r>
      <w:r>
        <w:rPr>
          <w:u w:val="single"/>
        </w:rPr>
        <w:t xml:space="preserve">(6)</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(9) The legislative advisory committee to the committee on advanced tuition payment established in RCW 28B.95.170 shall:</w:t>
      </w:r>
    </w:p>
    <w:p>
      <w:pPr>
        <w:spacing w:before="0" w:after="0" w:line="408" w:lineRule="exact"/>
        <w:ind w:left="0" w:right="0" w:firstLine="576"/>
        <w:jc w:val="left"/>
      </w:pPr>
      <w:r>
        <w:rPr>
          <w:strike/>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strike/>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068</w:t>
      </w:r>
      <w:r>
        <w:rPr/>
        <w:t xml:space="preserve"> and 2012 c 229 s 525 and 2012 c 229 s 524 are each reenacted and amended to read as follows:</w:t>
      </w:r>
    </w:p>
    <w:p>
      <w:pPr>
        <w:spacing w:before="0" w:after="0" w:line="408" w:lineRule="exact"/>
        <w:ind w:left="0" w:right="0" w:firstLine="576"/>
        <w:jc w:val="left"/>
      </w:pPr>
      <w:r>
        <w:rPr/>
        <w:t xml:space="preserve">(1) </w:t>
      </w:r>
      <w:r>
        <w:t>((</w:t>
      </w:r>
      <w:r>
        <w:rPr>
          <w:strike/>
        </w:rPr>
        <w:t xml:space="preserve">By September 1st of each year beginning in 2011, the office of financial management shall report to the governor, the student achievement council, and appropriate committees of the legislature with updated estimates of:</w:t>
      </w:r>
    </w:p>
    <w:p>
      <w:pPr>
        <w:spacing w:before="0" w:after="0" w:line="408" w:lineRule="exact"/>
        <w:ind w:left="0" w:right="0" w:firstLine="576"/>
        <w:jc w:val="left"/>
      </w:pPr>
      <w:r>
        <w:rPr>
          <w:strike/>
        </w:rPr>
        <w:t xml:space="preserve">(a) The total per-student funding level that represents the sixtieth percentile of funding for similar institutions of higher education in the global challenge states; and</w:t>
      </w:r>
    </w:p>
    <w:p>
      <w:pPr>
        <w:spacing w:before="0" w:after="0" w:line="408" w:lineRule="exact"/>
        <w:ind w:left="0" w:right="0" w:firstLine="576"/>
        <w:jc w:val="left"/>
      </w:pPr>
      <w:r>
        <w:rPr>
          <w:strike/>
        </w:rPr>
        <w:t xml:space="preserve">(b) The tuition that represents the sixtieth percentile of resident undergraduate tuition for similar institutions of higher education in the global challenge states.</w:t>
      </w:r>
    </w:p>
    <w:p>
      <w:pPr>
        <w:spacing w:before="0" w:after="0" w:line="408" w:lineRule="exact"/>
        <w:ind w:left="0" w:right="0" w:firstLine="576"/>
        <w:jc w:val="left"/>
      </w:pPr>
      <w:r>
        <w:rPr>
          <w:strike/>
        </w:rPr>
        <w:t xml:space="preserve">(2) As used in this section, "global challenge states" are the top performing states on the new economy index published by the progressive policy institute as of July 22, 2007. The new economy index ranks states on indicators of their potential to compete in the new economy. At least once every five years, the office of financial management shall determine if changes to the list of global challenge states are appropriate. The office of financial management shall report its findings to the governor and the legislature.</w:t>
      </w:r>
    </w:p>
    <w:p>
      <w:pPr>
        <w:spacing w:before="0" w:after="0" w:line="408" w:lineRule="exact"/>
        <w:ind w:left="0" w:right="0" w:firstLine="576"/>
        <w:jc w:val="left"/>
      </w:pPr>
      <w:r>
        <w:rPr>
          <w:strike/>
        </w:rPr>
        <w:t xml:space="preserve">(3)</w:t>
      </w:r>
      <w:r>
        <w:t>))</w:t>
      </w:r>
      <w:r>
        <w:rPr/>
        <w:t xml:space="preserve"> Institutions of higher education, in collaboration with relevant student associations, shall aim to have all students who can benefit from available tax credits that mitigate the costs of higher education take advantage of these opportunities. These tax credits include the American opportunity tax credit provided in the American recovery and reinvestment act of 2009, the lifetime learning credit, and other relevant tax credits for as long as they are available.</w:t>
      </w:r>
    </w:p>
    <w:p>
      <w:pPr>
        <w:spacing w:before="0" w:after="0" w:line="408" w:lineRule="exact"/>
        <w:ind w:left="0" w:right="0" w:firstLine="576"/>
        <w:jc w:val="left"/>
      </w:pPr>
      <w:r>
        <w:t>((</w:t>
      </w:r>
      <w:r>
        <w:rPr>
          <w:strike/>
        </w:rPr>
        <w:t xml:space="preserve">(4)</w:t>
      </w:r>
      <w:r>
        <w:t>))</w:t>
      </w:r>
      <w:r>
        <w:rPr>
          <w:u w:val="single"/>
        </w:rPr>
        <w:t xml:space="preserve">(2)</w:t>
      </w:r>
      <w:r>
        <w:rPr/>
        <w:t xml:space="preserve">(a) Institutions shall make every effort to communicate to students and their families the benefits of such tax credits and provide assistance to students and their families on how to apply.</w:t>
      </w:r>
    </w:p>
    <w:p>
      <w:pPr>
        <w:spacing w:before="0" w:after="0" w:line="408" w:lineRule="exact"/>
        <w:ind w:left="0" w:right="0" w:firstLine="576"/>
        <w:jc w:val="left"/>
      </w:pPr>
      <w:r>
        <w:rPr/>
        <w:t xml:space="preserve">(b) Information about relevant tax credits shall, to the greatest extent possible, be incorporated into financial aid counseling, admission information, and individual billing statements.</w:t>
      </w:r>
    </w:p>
    <w:p>
      <w:pPr>
        <w:spacing w:before="0" w:after="0" w:line="408" w:lineRule="exact"/>
        <w:ind w:left="0" w:right="0" w:firstLine="576"/>
        <w:jc w:val="left"/>
      </w:pPr>
      <w:r>
        <w:rPr/>
        <w:t xml:space="preserve">(c) Institutions shall, to the greatest extent possible, use all means of communication, including but not limited to web sites, online catalogues, admission and registration forms, mass email messaging, social media, and outside marketing to ensure information about relevant tax credits is visible and compelling, and reaches the maximum amount of student and families that can benefit.</w:t>
      </w:r>
    </w:p>
    <w:p>
      <w:pPr>
        <w:spacing w:before="0" w:after="0" w:line="408" w:lineRule="exact"/>
        <w:ind w:left="0" w:right="0" w:firstLine="576"/>
        <w:jc w:val="left"/>
      </w:pPr>
      <w:r>
        <w:t>((</w:t>
      </w:r>
      <w:r>
        <w:rPr>
          <w:strike/>
        </w:rPr>
        <w:t xml:space="preserve">(5) In the event that the economic value of the American opportunity tax credit is reduced or expires at any time before December 31, 2012, institutions of higher education shall:</w:t>
      </w:r>
    </w:p>
    <w:p>
      <w:pPr>
        <w:spacing w:before="0" w:after="0" w:line="408" w:lineRule="exact"/>
        <w:ind w:left="0" w:right="0" w:firstLine="576"/>
        <w:jc w:val="left"/>
      </w:pPr>
      <w:r>
        <w:rPr>
          <w:strike/>
        </w:rPr>
        <w:t xml:space="preserve">(a) Develop an updated tuition mitigation plan established under RCW 28B.15.102 for the purpose of minimizing, to the greatest extent possible, the increase in net cost of tuition or total cost of attendance for students resulting from any such change. This plan shall include the methods specified by the four-year institution of higher education to avoid adding additional loan debt burdens to students regardless of the source of such loans;</w:t>
      </w:r>
    </w:p>
    <w:p>
      <w:pPr>
        <w:spacing w:before="0" w:after="0" w:line="408" w:lineRule="exact"/>
        <w:ind w:left="0" w:right="0" w:firstLine="576"/>
        <w:jc w:val="left"/>
      </w:pPr>
      <w:r>
        <w:rPr>
          <w:strike/>
        </w:rPr>
        <w:t xml:space="preserve">(b) Report to the governor and the relevant committees of the legislature on their plans to adjust their tuition mitigation plans no later than ninety days after any such change to the American opportunity tax credit.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2012 c 229 s 110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w:t>
      </w:r>
      <w:r>
        <w:t>((</w:t>
      </w:r>
      <w:r>
        <w:rPr>
          <w:strike/>
        </w:rPr>
        <w:t xml:space="preserve">It is also the intent of the legislature that the council's recommendations take into consideration the total per-student funding at similar public institutions of higher education in the global challenge states.</w:t>
      </w:r>
      <w:r>
        <w:t>))</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100</w:t>
      </w:r>
      <w:r>
        <w:rPr/>
        <w:t xml:space="preserve"> and 2012 c 229 s 302 are each amended to read as follows:</w:t>
      </w:r>
    </w:p>
    <w:p>
      <w:pPr>
        <w:spacing w:before="0" w:after="0" w:line="408" w:lineRule="exact"/>
        <w:ind w:left="0" w:right="0" w:firstLine="576"/>
        <w:jc w:val="left"/>
      </w:pPr>
      <w:r>
        <w:rPr/>
        <w:t xml:space="preserve">(1)(a) In consultation with the education data center, institutions of higher education, and state education agencies, the council shall identify the data needed to carry out its responsibilities for policy analysis and public information. The primary goals of the council's data collection and research are to describe how students and other beneficiaries of higher education are being served; to compare and contrast the state of Washington's higher education system with the rest of the nation; and to assist state policymakers and institutions in making policy decisions.</w:t>
      </w:r>
    </w:p>
    <w:p>
      <w:pPr>
        <w:spacing w:before="0" w:after="0" w:line="408" w:lineRule="exact"/>
        <w:ind w:left="0" w:right="0" w:firstLine="576"/>
        <w:jc w:val="left"/>
      </w:pPr>
      <w:r>
        <w:rPr/>
        <w:t xml:space="preserve">(b) For the council, assistance to state policymakers and institutions of higher education in making policy decisions includes but is not limited to annual reporting of a national comparison of tuition and fees.</w:t>
      </w:r>
    </w:p>
    <w:p>
      <w:pPr>
        <w:spacing w:before="0" w:after="0" w:line="408" w:lineRule="exact"/>
        <w:ind w:left="0" w:right="0" w:firstLine="576"/>
        <w:jc w:val="left"/>
      </w:pPr>
      <w:r>
        <w:rPr/>
        <w:t xml:space="preserve">(2) One of the goals of the education data center's data collection and research for higher education is to support higher education accountability. For the education data center, assistance to state policymakers and institutions of higher education in making policy decisions includes but is not limited to regular completion of</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e</w:t>
      </w:r>
      <w:r>
        <w:rPr/>
        <w:t xml:space="preserve">ducational cost study reports as provided in RCW 43.41.415 and information on state support received by students as provided in RCW 43.41.410</w:t>
      </w:r>
      <w:r>
        <w:t>((</w:t>
      </w:r>
      <w:r>
        <w:rPr>
          <w:strike/>
        </w:rPr>
        <w:t xml:space="preserve">; and</w:t>
      </w:r>
    </w:p>
    <w:p>
      <w:pPr>
        <w:spacing w:before="0" w:after="0" w:line="408" w:lineRule="exact"/>
        <w:ind w:left="0" w:right="0" w:firstLine="576"/>
        <w:jc w:val="left"/>
      </w:pPr>
      <w:r>
        <w:rPr>
          <w:strike/>
        </w:rPr>
        <w:t xml:space="preserve">(b) Per-student funding at similar public institutions of higher education in the global challenge states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 </w:t>
      </w:r>
      <w:r>
        <w:rPr>
          <w:u w:val="single"/>
        </w:rPr>
        <w:t xml:space="preserve">and</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w:t>
      </w:r>
      <w:r>
        <w:t>((</w:t>
      </w:r>
      <w:r>
        <w:rPr>
          <w:strike/>
        </w:rPr>
        <w:t xml:space="preserve">and</w:t>
      </w:r>
    </w:p>
    <w:p>
      <w:pPr>
        <w:spacing w:before="0" w:after="0" w:line="408" w:lineRule="exact"/>
        <w:ind w:left="0" w:right="0" w:firstLine="576"/>
        <w:jc w:val="left"/>
      </w:pPr>
      <w:r>
        <w:rPr>
          <w:strike/>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r>
        <w:t>))</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until the participant withdraws from or is no longer attending the program, completes the program, or has taken the credit or clock hour equivalent of one hundred twenty-five percent of the published length of time of the participant's program, whichever occurs first, and as long as the participant annually submits documentation of filing both a free application for federal student aid and for available federal education tax credits, including but not limited to the American opportunity tax credit;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780</w:t>
      </w:r>
      <w:r>
        <w:rPr/>
        <w:t xml:space="preserve"> (Budget calculation</w:t>
      </w:r>
      <w:r>
        <w:rPr>
          <w:rFonts w:ascii="Times New Roman" w:hAnsi="Times New Roman"/>
        </w:rPr>
        <w:t xml:space="preserve">—</w:t>
      </w:r>
      <w:r>
        <w:rPr/>
        <w:t xml:space="preserve">Funding level) and 1993 sp.s. c 15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2011 1st sp.s. c 50 s 928 is repealed.</w:t>
      </w:r>
    </w:p>
    <w:p/>
    <w:p>
      <w:pPr>
        <w:jc w:val="center"/>
      </w:pPr>
      <w:r>
        <w:rPr>
          <w:b/>
        </w:rPr>
        <w:t>--- END ---</w:t>
      </w:r>
    </w:p>
    <w:sectPr>
      <w:pgNumType w:start="1"/>
      <w:footerReference xmlns:r="http://schemas.openxmlformats.org/officeDocument/2006/relationships" r:id="Rbdb2b472f63b47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0874c94f184e81" /><Relationship Type="http://schemas.openxmlformats.org/officeDocument/2006/relationships/footer" Target="/word/footer.xml" Id="Rbdb2b472f63b474d" /></Relationships>
</file>