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fc52b999914d47" /></Relationships>
</file>

<file path=word/document.xml><?xml version="1.0" encoding="utf-8"?>
<w:document xmlns:w="http://schemas.openxmlformats.org/wordprocessingml/2006/main">
  <w:body>
    <w:p>
      <w:r>
        <w:t>H-0627.2</w:t>
      </w:r>
    </w:p>
    <w:p>
      <w:pPr>
        <w:jc w:val="center"/>
      </w:pPr>
      <w:r>
        <w:t>_______________________________________________</w:t>
      </w:r>
    </w:p>
    <w:p/>
    <w:p>
      <w:pPr>
        <w:jc w:val="center"/>
      </w:pPr>
      <w:r>
        <w:rPr>
          <w:b/>
        </w:rPr>
        <w:t>HOUSE BILL 1132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Harris, Wylie, Van De Wege, Johnson, Lytton, Fey, Riccelli, Jinkins, Buys, Cody, Appleton, Ortiz-Self, Hayes, Gregerson, and Short</w:t>
      </w:r>
    </w:p>
    <w:p/>
    <w:p>
      <w:r>
        <w:rPr>
          <w:t xml:space="preserve">Read first time 01/14/15.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adult family homes; and amending RCW 70.128.060 and 70.128.120.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2013 c 300 s 2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w:t>
      </w:r>
      <w:r>
        <w:rPr>
          <w:u w:val="single"/>
        </w:rPr>
        <w:t xml:space="preserve">(a)(i)</w:t>
      </w:r>
      <w:r>
        <w:rPr/>
        <w:t xml:space="preserve">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u w:val="single"/>
        </w:rPr>
        <w:t xml:space="preserve">(ii) In addition to the fees established in (a)(i) of this subsection, the department shall charge the licensee a nonrefundable fee in the event of a change in ownership of the adult family home. The fee must be established in the omnibus appropriations act and any amendment or additions made to that act.</w:t>
      </w:r>
    </w:p>
    <w:p>
      <w:pPr>
        <w:spacing w:before="0" w:after="0" w:line="408" w:lineRule="exact"/>
        <w:ind w:left="0" w:right="0" w:firstLine="576"/>
        <w:jc w:val="left"/>
      </w:pPr>
      <w:r>
        <w:rPr>
          <w:u w:val="single"/>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120</w:t>
      </w:r>
      <w:r>
        <w:rPr/>
        <w:t xml:space="preserve"> and 2013 c 39 s 21 are each amended to read as follows:</w:t>
      </w:r>
    </w:p>
    <w:p>
      <w:pPr>
        <w:spacing w:before="0" w:after="0" w:line="408" w:lineRule="exact"/>
        <w:ind w:left="0" w:right="0" w:firstLine="576"/>
        <w:jc w:val="left"/>
      </w:pPr>
      <w:r>
        <w:rPr/>
        <w:t xml:space="preserve">Each adult family home provider, applicant, and each resident manager shall have the following minimum qualifications, except that only applicants are required to meet the provisions of subsections (10) and (11) of this section:</w:t>
      </w:r>
    </w:p>
    <w:p>
      <w:pPr>
        <w:spacing w:before="0" w:after="0" w:line="408" w:lineRule="exact"/>
        <w:ind w:left="0" w:right="0" w:firstLine="576"/>
        <w:jc w:val="left"/>
      </w:pPr>
      <w:r>
        <w:rPr/>
        <w:t xml:space="preserve">(1) Twenty-one years of age or older;</w:t>
      </w:r>
    </w:p>
    <w:p>
      <w:pPr>
        <w:spacing w:before="0" w:after="0" w:line="408" w:lineRule="exact"/>
        <w:ind w:left="0" w:right="0" w:firstLine="576"/>
        <w:jc w:val="left"/>
      </w:pPr>
      <w:r>
        <w:rPr/>
        <w:t xml:space="preserve">(2) For those applying after September 1, 2001, to be licensed as providers, and for resident managers whose employment begins after September 1, 2001, a United States high school diploma or high school equivalency certificate as provided in RCW 28B.50.536 or any English or translated government documentation of the following:</w:t>
      </w:r>
    </w:p>
    <w:p>
      <w:pPr>
        <w:spacing w:before="0" w:after="0" w:line="408" w:lineRule="exact"/>
        <w:ind w:left="0" w:right="0" w:firstLine="576"/>
        <w:jc w:val="left"/>
      </w:pPr>
      <w:r>
        <w:rPr/>
        <w:t xml:space="preserve">(a) Successful completion of government-approved public or private school education in a foreign country that includes an annual average of one thousand hours of instruction over twelve years or no less than twelve thousand hours of instruction;</w:t>
      </w:r>
    </w:p>
    <w:p>
      <w:pPr>
        <w:spacing w:before="0" w:after="0" w:line="408" w:lineRule="exact"/>
        <w:ind w:left="0" w:right="0" w:firstLine="576"/>
        <w:jc w:val="left"/>
      </w:pPr>
      <w:r>
        <w:rPr/>
        <w:t xml:space="preserve">(b) A foreign college, foreign university, or United States community college two-year diploma;</w:t>
      </w:r>
    </w:p>
    <w:p>
      <w:pPr>
        <w:spacing w:before="0" w:after="0" w:line="408" w:lineRule="exact"/>
        <w:ind w:left="0" w:right="0" w:firstLine="576"/>
        <w:jc w:val="left"/>
      </w:pPr>
      <w:r>
        <w:rPr/>
        <w:t xml:space="preserve">(c) Admission to, or completion of coursework at, a foreign university or college for which credit was granted;</w:t>
      </w:r>
    </w:p>
    <w:p>
      <w:pPr>
        <w:spacing w:before="0" w:after="0" w:line="408" w:lineRule="exact"/>
        <w:ind w:left="0" w:right="0" w:firstLine="576"/>
        <w:jc w:val="left"/>
      </w:pPr>
      <w:r>
        <w:rPr/>
        <w:t xml:space="preserve">(d) Admission to, or completion of coursework at, a United States college or university for which credits were awarded;</w:t>
      </w:r>
    </w:p>
    <w:p>
      <w:pPr>
        <w:spacing w:before="0" w:after="0" w:line="408" w:lineRule="exact"/>
        <w:ind w:left="0" w:right="0" w:firstLine="576"/>
        <w:jc w:val="left"/>
      </w:pPr>
      <w:r>
        <w:rPr/>
        <w:t xml:space="preserve">(e) Admission to, or completion of postgraduate coursework at, a United States college or university for which credits were awarded; or</w:t>
      </w:r>
    </w:p>
    <w:p>
      <w:pPr>
        <w:spacing w:before="0" w:after="0" w:line="408" w:lineRule="exact"/>
        <w:ind w:left="0" w:right="0" w:firstLine="576"/>
        <w:jc w:val="left"/>
      </w:pPr>
      <w:r>
        <w:rPr/>
        <w:t xml:space="preserve">(f) Successful passage of the United States board examination for registered nursing, or any professional medical occupation for which college or university education preparation was required;</w:t>
      </w:r>
    </w:p>
    <w:p>
      <w:pPr>
        <w:spacing w:before="0" w:after="0" w:line="408" w:lineRule="exact"/>
        <w:ind w:left="0" w:right="0" w:firstLine="576"/>
        <w:jc w:val="left"/>
      </w:pPr>
      <w:r>
        <w:rPr/>
        <w:t xml:space="preserve">(3) Good moral and responsible character and reputation;</w:t>
      </w:r>
    </w:p>
    <w:p>
      <w:pPr>
        <w:spacing w:before="0" w:after="0" w:line="408" w:lineRule="exact"/>
        <w:ind w:left="0" w:right="0" w:firstLine="576"/>
        <w:jc w:val="left"/>
      </w:pPr>
      <w:r>
        <w:rPr/>
        <w:t xml:space="preserve">(4) Literacy and the ability to communicate in the English language;</w:t>
      </w:r>
    </w:p>
    <w:p>
      <w:pPr>
        <w:spacing w:before="0" w:after="0" w:line="408" w:lineRule="exact"/>
        <w:ind w:left="0" w:right="0" w:firstLine="576"/>
        <w:jc w:val="left"/>
      </w:pPr>
      <w:r>
        <w:rPr/>
        <w:t xml:space="preserve">(5) Management and administrative ability to carry out the requirements of this chapter;</w:t>
      </w:r>
    </w:p>
    <w:p>
      <w:pPr>
        <w:spacing w:before="0" w:after="0" w:line="408" w:lineRule="exact"/>
        <w:ind w:left="0" w:right="0" w:firstLine="576"/>
        <w:jc w:val="left"/>
      </w:pPr>
      <w:r>
        <w:rPr/>
        <w:t xml:space="preserve">(6) Satisfactory completion of department-approved basic training and continuing education training as required by RCW 74.39A.074, and in rules adopted by the department;</w:t>
      </w:r>
    </w:p>
    <w:p>
      <w:pPr>
        <w:spacing w:before="0" w:after="0" w:line="408" w:lineRule="exact"/>
        <w:ind w:left="0" w:right="0" w:firstLine="576"/>
        <w:jc w:val="left"/>
      </w:pPr>
      <w:r>
        <w:rPr/>
        <w:t xml:space="preserve">(7) Satisfactory completion of department-approved, or equivalent, special care training before a provider may provide special care services to a resident;</w:t>
      </w:r>
    </w:p>
    <w:p>
      <w:pPr>
        <w:spacing w:before="0" w:after="0" w:line="408" w:lineRule="exact"/>
        <w:ind w:left="0" w:right="0" w:firstLine="576"/>
        <w:jc w:val="left"/>
      </w:pPr>
      <w:r>
        <w:rPr/>
        <w:t xml:space="preserve">(8) Not been convicted of any crime that is disqualifying under RCW 43.43.830 or 43.43.842, or department rules adopted under this chapter, or been found to have abused, neglected, exploited, or abandoned a minor or vulnerable adult as specified in RCW 74.39A.056(2);</w:t>
      </w:r>
    </w:p>
    <w:p>
      <w:pPr>
        <w:spacing w:before="0" w:after="0" w:line="408" w:lineRule="exact"/>
        <w:ind w:left="0" w:right="0" w:firstLine="576"/>
        <w:jc w:val="left"/>
      </w:pPr>
      <w:r>
        <w:rPr/>
        <w:t xml:space="preserve">(9) 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 The applicant or resident manager must have credible evidence of the successful, direct caregiving experience or, currently hold one of the following professional licenses: Physician licensed under chapter 18.71 RCW; osteopathic physician licensed under chapter 18.57 RCW; osteopathic physician assistant licensed under chapter 18.57A RCW; physician assistant licensed under chapter 18.71A RCW; registered nurse, advanced registered nurse practitioner, or licensed practical nurse licensed under chapter 18.79 RCW;</w:t>
      </w:r>
    </w:p>
    <w:p>
      <w:pPr>
        <w:spacing w:before="0" w:after="0" w:line="408" w:lineRule="exact"/>
        <w:ind w:left="0" w:right="0" w:firstLine="576"/>
        <w:jc w:val="left"/>
      </w:pPr>
      <w:r>
        <w:rPr/>
        <w:t xml:space="preserve">(10) For applicants, proof of financial solvency, as defined in rule; and</w:t>
      </w:r>
    </w:p>
    <w:p>
      <w:pPr>
        <w:spacing w:before="0" w:after="0" w:line="408" w:lineRule="exact"/>
        <w:ind w:left="0" w:right="0" w:firstLine="576"/>
        <w:jc w:val="left"/>
      </w:pPr>
      <w:r>
        <w:rPr/>
        <w:t xml:space="preserve">(11) Applicants must successfully complete an adult family home administration and business planning class, prior to being granted a license. The class must be a minimum of forty-eight hours of classroom time and approved by the department. The department shall promote and prioritize bilingual capabilities within available resources and when materials are available for this purpose. </w:t>
      </w:r>
      <w:r>
        <w:rPr>
          <w:u w:val="single"/>
        </w:rPr>
        <w:t xml:space="preserve">Under exceptional circumstances, such as the sudden and unexpected death of a provider, the department may consider granting a license to an applicant who has not completed the class but who meets all other requirements. If the department decides to grant the license due to exceptional circumstances, the applicant must complete the class within four months of licensure.</w:t>
      </w:r>
    </w:p>
    <w:p/>
    <w:p>
      <w:pPr>
        <w:jc w:val="center"/>
      </w:pPr>
      <w:r>
        <w:rPr>
          <w:b/>
        </w:rPr>
        <w:t>--- END ---</w:t>
      </w:r>
    </w:p>
    <w:sectPr>
      <w:pgNumType w:start="1"/>
      <w:footerReference xmlns:r="http://schemas.openxmlformats.org/officeDocument/2006/relationships" r:id="R9923f115ab5a49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899635b834ca6" /><Relationship Type="http://schemas.openxmlformats.org/officeDocument/2006/relationships/footer" Target="/word/footer.xml" Id="R9923f115ab5a49d7" /></Relationships>
</file>