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0a907112394f39" /></Relationships>
</file>

<file path=word/document.xml><?xml version="1.0" encoding="utf-8"?>
<w:document xmlns:w="http://schemas.openxmlformats.org/wordprocessingml/2006/main">
  <w:body>
    <w:p>
      <w:r>
        <w:t>Z-0002.2</w:t>
      </w:r>
    </w:p>
    <w:p>
      <w:pPr>
        <w:jc w:val="center"/>
      </w:pPr>
      <w:r>
        <w:t>_______________________________________________</w:t>
      </w:r>
    </w:p>
    <w:p/>
    <w:p>
      <w:pPr>
        <w:jc w:val="center"/>
      </w:pPr>
      <w:r>
        <w:rPr>
          <w:b/>
        </w:rPr>
        <w:t>HOUSE BILL 1130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Fey, Short, Tharinger, Fitzgibbon, and Gregerson; by request of Department of Ecology and Department of Fish and Wildlife</w:t>
      </w:r>
    </w:p>
    <w:p/>
    <w:p>
      <w:r>
        <w:rPr>
          <w:t xml:space="preserve">Read first time 01/14/15.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water power license fees; and amending RCW 90.16.050.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16</w:t>
      </w:r>
      <w:r>
        <w:rPr/>
        <w:t xml:space="preserve">.</w:t>
      </w:r>
      <w:r>
        <w:t xml:space="preserve">050</w:t>
      </w:r>
      <w:r>
        <w:rPr/>
        <w:t xml:space="preserve"> and 2007 c 286 s 1 are each amended to read as follows:</w:t>
      </w:r>
    </w:p>
    <w:p>
      <w:pPr>
        <w:spacing w:before="0" w:after="0" w:line="408" w:lineRule="exact"/>
        <w:ind w:left="0" w:right="0" w:firstLine="576"/>
        <w:jc w:val="left"/>
      </w:pPr>
      <w:r>
        <w:rPr/>
        <w:t xml:space="preserve">(1) Every person, firm, private or municipal corporation, or association hereinafter called "claimant", claiming the right to the use of water within or bordering upon the state of Washington for power development, shall on or before the first day of January of each year pay to the state of Washington in advance an annual license fee, based upon the theoretical water power claimed under each and every separate claim to water according to the following schedule:</w:t>
      </w:r>
    </w:p>
    <w:p>
      <w:pPr>
        <w:spacing w:before="0" w:after="0" w:line="408" w:lineRule="exact"/>
        <w:ind w:left="0" w:right="0" w:firstLine="576"/>
        <w:jc w:val="left"/>
      </w:pPr>
      <w:r>
        <w:rPr/>
        <w:t xml:space="preserve">(a) For projects in operation: For each and every theoretical horsepower claimed up to and including one thousand horsepower, at the rate of eighteen cents per horsepower; for each and every theoretical horsepower in excess of one thousand horsepower, up to and including ten thousand horsepower, at the rate of three and six-tenths cents per horsepower; for each and every theoretical horsepower in excess of ten thousand horsepower, at the rate of one and eight-tenths cents per horsepower.</w:t>
      </w:r>
    </w:p>
    <w:p>
      <w:pPr>
        <w:spacing w:before="0" w:after="0" w:line="408" w:lineRule="exact"/>
        <w:ind w:left="0" w:right="0" w:firstLine="576"/>
        <w:jc w:val="left"/>
      </w:pPr>
      <w:r>
        <w:rPr/>
        <w:t xml:space="preserve">(b) For federal energy regulatory commission projects in operation, the following fee schedule applies in addition to the fees in (a) of this subsection: For each theoretical horsepower of capacity up to and including one thousand horsepower, at the rate of thirty</w:t>
      </w:r>
      <w:r>
        <w:rPr/>
        <w:noBreakHyphen/>
      </w:r>
      <w:r>
        <w:rPr/>
        <w:t xml:space="preserve">two cents per horsepower; for each theoretical horsepower in excess of one thousand horsepower, up to and including ten thousand horsepower, at the rate of six and four-tenths cents per horsepower; for each theoretical horsepower in excess of ten thousand horsepower, at the rate of three and two-tenths cents per horsepower.</w:t>
      </w:r>
    </w:p>
    <w:p>
      <w:pPr>
        <w:spacing w:before="0" w:after="0" w:line="408" w:lineRule="exact"/>
        <w:ind w:left="0" w:right="0" w:firstLine="576"/>
        <w:jc w:val="left"/>
      </w:pPr>
      <w:r>
        <w:rPr/>
        <w:t xml:space="preserve">(c) To justify the appropriate use of fees collected under (b) of this subsection, the department of ecology shall submit a progress report to the appropriate committees of the legislature prior to December 31, 2009, and biennially thereafter </w:t>
      </w:r>
      <w:r>
        <w:t>((</w:t>
      </w:r>
      <w:r>
        <w:rPr>
          <w:strike/>
        </w:rPr>
        <w:t xml:space="preserve">until December 31, 2017</w:t>
      </w:r>
      <w:r>
        <w:t>))</w:t>
      </w:r>
      <w:r>
        <w:rPr/>
        <w:t xml:space="preserve">.</w:t>
      </w:r>
    </w:p>
    <w:p>
      <w:pPr>
        <w:spacing w:before="0" w:after="0" w:line="408" w:lineRule="exact"/>
        <w:ind w:left="0" w:right="0" w:firstLine="576"/>
        <w:jc w:val="left"/>
      </w:pPr>
      <w:r>
        <w:rPr/>
        <w:t xml:space="preserve">(i) The progress report will: (A) Describe how license fees were expended in the federal energy regulatory commission licensing process during the current biennium, and expected workload and full-time equivalent employees for federal energy regulatory commission licensing in the next biennium; (B) include any recommendations based on consultation with the departments of ecology and fish and wildlife, hydropower project operators, and other interested parties; and (C) recognize hydropower operators that exceed their environmental regulatory requirements.</w:t>
      </w:r>
    </w:p>
    <w:p>
      <w:pPr>
        <w:spacing w:before="0" w:after="0" w:line="408" w:lineRule="exact"/>
        <w:ind w:left="0" w:right="0" w:firstLine="576"/>
        <w:jc w:val="left"/>
      </w:pPr>
      <w:r>
        <w:rPr/>
        <w:t xml:space="preserve">(ii) The fees required in (b) of this subsection expire June 30, </w:t>
      </w:r>
      <w:r>
        <w:t>((</w:t>
      </w:r>
      <w:r>
        <w:rPr>
          <w:strike/>
        </w:rPr>
        <w:t xml:space="preserve">2017</w:t>
      </w:r>
      <w:r>
        <w:t>))</w:t>
      </w:r>
      <w:r>
        <w:rPr>
          <w:u w:val="single"/>
        </w:rPr>
        <w:t xml:space="preserve">2027</w:t>
      </w:r>
      <w:r>
        <w:rPr/>
        <w:t xml:space="preserve">. The biennial progress reports submitted by the department of ecology will serve as a record for considering the extension of the fee structure in (b) of this subsection.</w:t>
      </w:r>
    </w:p>
    <w:p>
      <w:pPr>
        <w:spacing w:before="0" w:after="0" w:line="408" w:lineRule="exact"/>
        <w:ind w:left="0" w:right="0" w:firstLine="576"/>
        <w:jc w:val="left"/>
      </w:pPr>
      <w:r>
        <w:rPr/>
        <w:t xml:space="preserve">(2) The following are exceptions to the fee schedule in subsection (1) of this section:</w:t>
      </w:r>
    </w:p>
    <w:p>
      <w:pPr>
        <w:spacing w:before="0" w:after="0" w:line="408" w:lineRule="exact"/>
        <w:ind w:left="0" w:right="0" w:firstLine="576"/>
        <w:jc w:val="left"/>
      </w:pPr>
      <w:r>
        <w:rPr/>
        <w:t xml:space="preserve">(a) For undeveloped projects, the fee shall be at one-half the rates specified for projects in operation; for projects partly developed and in operation the fees paid on that portion of any project that shall have been developed and in operation shall be the full annual license fee specified in subsection (1) of this section for projects in operation, and for the remainder of the power claimed under such project the fees shall be the same as for undeveloped projects. </w:t>
      </w:r>
    </w:p>
    <w:p>
      <w:pPr>
        <w:spacing w:before="0" w:after="0" w:line="408" w:lineRule="exact"/>
        <w:ind w:left="0" w:right="0" w:firstLine="576"/>
        <w:jc w:val="left"/>
      </w:pPr>
      <w:r>
        <w:rPr/>
        <w:t xml:space="preserve">(b) The fees required in subsection (1) of this section do not apply to any hydropower project owned by the United States.</w:t>
      </w:r>
    </w:p>
    <w:p>
      <w:pPr>
        <w:spacing w:before="0" w:after="0" w:line="408" w:lineRule="exact"/>
        <w:ind w:left="0" w:right="0" w:firstLine="576"/>
        <w:jc w:val="left"/>
      </w:pPr>
      <w:r>
        <w:rPr/>
        <w:t xml:space="preserve">(c) The fees required in subsection (1) of this section do not apply to the use of water for the generation of fifty horsepower or less.</w:t>
      </w:r>
    </w:p>
    <w:p>
      <w:pPr>
        <w:spacing w:before="0" w:after="0" w:line="408" w:lineRule="exact"/>
        <w:ind w:left="0" w:right="0" w:firstLine="576"/>
        <w:jc w:val="left"/>
      </w:pPr>
      <w:r>
        <w:rPr/>
        <w:t xml:space="preserve">(d) The fees required in subsection (1) of this section for projects developed by an irrigation district in conjunction with the irrigation district's water conveyance system shall be reduced by fifty percent to reflect the portion of the year when the project is not operable.</w:t>
      </w:r>
    </w:p>
    <w:p>
      <w:pPr>
        <w:spacing w:before="0" w:after="0" w:line="408" w:lineRule="exact"/>
        <w:ind w:left="0" w:right="0" w:firstLine="576"/>
        <w:jc w:val="left"/>
      </w:pPr>
      <w:r>
        <w:rPr/>
        <w:t xml:space="preserve">(e) Any irrigation district or other municipal subdivision of the state, developing power chiefly for use in pumping of water for irrigation, upon the filing of a statement showing the amount of power used for irrigation pumping, is exempt from the fees in subsection (1) of this section to the extent of the power used for irrigation pumping.</w:t>
      </w:r>
    </w:p>
    <w:p/>
    <w:p>
      <w:pPr>
        <w:jc w:val="center"/>
      </w:pPr>
      <w:r>
        <w:rPr>
          <w:b/>
        </w:rPr>
        <w:t>--- END ---</w:t>
      </w:r>
    </w:p>
    <w:sectPr>
      <w:pgNumType w:start="1"/>
      <w:footerReference xmlns:r="http://schemas.openxmlformats.org/officeDocument/2006/relationships" r:id="R2fdbfc1c6db84b8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def344420534e48" /><Relationship Type="http://schemas.openxmlformats.org/officeDocument/2006/relationships/footer" Target="/word/footer.xml" Id="R2fdbfc1c6db84b85" /></Relationships>
</file>