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103e3ed0524b8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MacEwen, Tarleton, Walsh, Goodman, Senn, Gregerson, and Ryu)</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early learning fatality reviews; amending RCW 43.06A.100;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43.215.400 through 43.215.450 or a licensed child care center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43.215.400 through 43.215.450 or licensed child care center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2013 c 23 s 80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w:t>
      </w:r>
      <w:r>
        <w:rPr>
          <w:u w:val="single"/>
        </w:rPr>
        <w:t xml:space="preserve">and the department of early learning</w:t>
      </w:r>
      <w:r>
        <w:rPr/>
        <w:t xml:space="preserve"> shall:</w:t>
      </w:r>
    </w:p>
    <w:p>
      <w:pPr>
        <w:spacing w:before="0" w:after="0" w:line="408" w:lineRule="exact"/>
        <w:ind w:left="0" w:right="0" w:firstLine="576"/>
        <w:jc w:val="left"/>
      </w:pPr>
      <w:r>
        <w:t>((</w:t>
      </w:r>
      <w:r>
        <w:rPr>
          <w:strike/>
        </w:rPr>
        <w:t xml:space="preserve">(1)</w:t>
      </w:r>
      <w:r>
        <w:t>))</w:t>
      </w:r>
      <w:r>
        <w:rPr>
          <w:u w:val="single"/>
        </w:rPr>
        <w:t xml:space="preserve">(a)</w:t>
      </w:r>
      <w:r>
        <w:rPr/>
        <w:t xml:space="preserve"> Allow the ombuds or the ombuds's designee to communicate privately with any child in the custody of the department </w:t>
      </w:r>
      <w:r>
        <w:rPr>
          <w:u w:val="single"/>
        </w:rPr>
        <w:t xml:space="preserve">of social and health services, or any child who is part of a near fatality investigation by the department of early learning,</w:t>
      </w:r>
      <w:r>
        <w:rPr/>
        <w:t xml:space="preserve"> for the purposes of carrying out its duties under this chapter;</w:t>
      </w:r>
    </w:p>
    <w:p>
      <w:pPr>
        <w:spacing w:before="0" w:after="0" w:line="408" w:lineRule="exact"/>
        <w:ind w:left="0" w:right="0" w:firstLine="576"/>
        <w:jc w:val="left"/>
      </w:pPr>
      <w:r>
        <w:t>((</w:t>
      </w:r>
      <w:r>
        <w:rPr>
          <w:strike/>
        </w:rPr>
        <w:t xml:space="preserve">(2)</w:t>
      </w:r>
      <w:r>
        <w:t>))</w:t>
      </w:r>
      <w:r>
        <w:rPr>
          <w:u w:val="single"/>
        </w:rPr>
        <w:t xml:space="preserve">(b)</w:t>
      </w:r>
      <w:r>
        <w:rPr/>
        <w:t xml:space="preserve">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t>((</w:t>
      </w:r>
      <w:r>
        <w:rPr>
          <w:strike/>
        </w:rPr>
        <w:t xml:space="preserve">(3)</w:t>
      </w:r>
      <w:r>
        <w:t>))</w:t>
      </w:r>
      <w:r>
        <w:rPr>
          <w:u w:val="single"/>
        </w:rPr>
        <w:t xml:space="preserve">(c)</w:t>
      </w:r>
      <w:r>
        <w:rPr/>
        <w:t xml:space="preserve"> Upon the ombuds's request, grant the ombuds or the ombuds's designee the right to access, inspect, and copy all relevant information, records, or documents in the possession or control of the department </w:t>
      </w:r>
      <w:r>
        <w:rPr>
          <w:u w:val="single"/>
        </w:rPr>
        <w:t xml:space="preserve">of social and health services or the department of early learning</w:t>
      </w:r>
      <w:r>
        <w:rPr/>
        <w:t xml:space="preserve"> that the ombuds considers necessary in an investigation; and</w:t>
      </w:r>
    </w:p>
    <w:p>
      <w:pPr>
        <w:spacing w:before="0" w:after="0" w:line="408" w:lineRule="exact"/>
        <w:ind w:left="0" w:right="0" w:firstLine="576"/>
        <w:jc w:val="left"/>
      </w:pPr>
      <w:r>
        <w:t>((</w:t>
      </w:r>
      <w:r>
        <w:rPr>
          <w:strike/>
        </w:rPr>
        <w:t xml:space="preserve">(4)</w:t>
      </w:r>
      <w:r>
        <w:t>))</w:t>
      </w:r>
      <w:r>
        <w:rPr>
          <w:u w:val="single"/>
        </w:rPr>
        <w:t xml:space="preserve">(d)</w:t>
      </w:r>
      <w:r>
        <w:rPr/>
        <w:t xml:space="preserve"> Grant the office of the family and children's ombuds unrestricted online access to the </w:t>
      </w:r>
      <w:r>
        <w:rPr>
          <w:u w:val="single"/>
        </w:rPr>
        <w:t xml:space="preserve">child welfare</w:t>
      </w:r>
      <w:r>
        <w:rPr/>
        <w:t xml:space="preserve"> case </w:t>
      </w:r>
      <w:r>
        <w:t>((</w:t>
      </w:r>
      <w:r>
        <w:rPr>
          <w:strike/>
        </w:rPr>
        <w:t xml:space="preserve">and</w:t>
      </w:r>
      <w:r>
        <w:t>))</w:t>
      </w:r>
      <w:r>
        <w:rPr/>
        <w:t xml:space="preserve"> management information system </w:t>
      </w:r>
      <w:r>
        <w:t>((</w:t>
      </w:r>
      <w:r>
        <w:rPr>
          <w:strike/>
        </w:rPr>
        <w:t xml:space="preserve">(CAMIS) or any successor</w:t>
      </w:r>
      <w:r>
        <w:t>))</w:t>
      </w:r>
      <w:r>
        <w:rPr>
          <w:u w:val="single"/>
        </w:rPr>
        <w:t xml:space="preserve">and the department of early learning data</w:t>
      </w:r>
      <w:r>
        <w:rPr/>
        <w:t xml:space="preserve"> information system for the purpose of carrying out its duties under this chapter.</w:t>
      </w:r>
    </w:p>
    <w:p>
      <w:pPr>
        <w:spacing w:before="0" w:after="0" w:line="408" w:lineRule="exact"/>
        <w:ind w:left="0" w:right="0" w:firstLine="576"/>
        <w:jc w:val="left"/>
      </w:pPr>
      <w:r>
        <w:rPr>
          <w:u w:val="single"/>
        </w:rPr>
        <w:t xml:space="preserve">(2) For the purposes of this section, "near fatality" means an act that, as certified by a physician, places the child in serious or critical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Eve Uphold act.</w:t>
      </w:r>
    </w:p>
    <w:p/>
    <w:p>
      <w:pPr>
        <w:jc w:val="center"/>
      </w:pPr>
      <w:r>
        <w:rPr>
          <w:b/>
        </w:rPr>
        <w:t>--- END ---</w:t>
      </w:r>
    </w:p>
    <w:sectPr>
      <w:pgNumType w:start="1"/>
      <w:footerReference xmlns:r="http://schemas.openxmlformats.org/officeDocument/2006/relationships" r:id="R60d7e920d3bb46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9c73ddcee463f" /><Relationship Type="http://schemas.openxmlformats.org/officeDocument/2006/relationships/footer" Target="/word/footer.xml" Id="R60d7e920d3bb4614" /></Relationships>
</file>