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1ab4b26ab443a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Buys</w:t>
      </w:r>
    </w:p>
    <w:p/>
    <w:p>
      <w:r>
        <w:rPr>
          <w:t xml:space="preserve">Read first time 01/13/15.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the minimum dimensions of habitable spaces in single-family residential buildings; amending RCW 19.27.031, 19.27.060, 35.63.080, 35A.63.100, 36.43.010, and 36.70.750;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need for ecologically sustainable and affordable housing, and small home construction is a way to meet this need. The legislature also finds that regulations mandating a minimum gross floor area for single-family dwellings, such as minimum floor or room area requirements, that do not further fire, life safety, or environmental purposes, objectives, or standards prevent construction of small homes. It is the intent of the legislature that counties, cities with a population of less than one hundred twenty-five thousand, and towns may not adopt regulations mandating a minimum gross floor area for single-family dwellings, unless such regulations are necessary to ensure that buildings meet fire, life safety, or environmental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2003 c 291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w:t>
      </w:r>
      <w:r>
        <w:rPr>
          <w:strike/>
        </w:rPr>
        <w:t xml:space="preserve">[,]</w:t>
      </w:r>
      <w:r>
        <w:rPr/>
        <w:t xml:space="preserve">))</w:t>
      </w:r>
      <w:r>
        <w:rPr>
          <w:u w:val="single"/>
        </w:rPr>
        <w:t xml:space="preserve">,</w:t>
      </w:r>
      <w:r>
        <w:rPr/>
        <w:t xml:space="preserve"> Inc.;</w:t>
      </w:r>
    </w:p>
    <w:p>
      <w:pPr>
        <w:spacing w:before="0" w:after="0" w:line="408" w:lineRule="exact"/>
        <w:ind w:left="0" w:right="0" w:firstLine="576"/>
        <w:jc w:val="left"/>
      </w:pPr>
      <w:r>
        <w:rPr/>
        <w:t xml:space="preserve">(b) The International Residential Code, published by the International Code Council, Inc.</w:t>
      </w:r>
      <w:r>
        <w:rPr>
          <w:u w:val="single"/>
        </w:rPr>
        <w:t xml:space="preserve">, except that any provision of the code establishing a minimum gross floor area for single-family detached dwellings is not adopted</w:t>
      </w:r>
      <w:r>
        <w:rPr/>
        <w:t xml:space="preserve">;</w:t>
      </w:r>
    </w:p>
    <w:p>
      <w:pPr>
        <w:spacing w:before="0" w:after="0" w:line="408" w:lineRule="exact"/>
        <w:ind w:left="0" w:right="0" w:firstLine="576"/>
        <w:jc w:val="left"/>
      </w:pPr>
      <w:r>
        <w:rPr/>
        <w:t xml:space="preserve">(2) The International Mechanical Code, published by the International Code Council((</w:t>
      </w:r>
      <w:r>
        <w:rPr>
          <w:strike/>
        </w:rPr>
        <w:t xml:space="preserve">[,]</w:t>
      </w:r>
      <w:r>
        <w:rPr/>
        <w:t xml:space="preserve">))</w:t>
      </w:r>
      <w:r>
        <w:rPr>
          <w:u w:val="single"/>
        </w:rPr>
        <w:t xml:space="preserve">,</w:t>
      </w:r>
      <w:r>
        <w:rPr/>
        <w:t xml:space="preserve"> Inc., except that the standards for liquified petroleum gas installations shall be NFPA 58 (Storage and Handling of Liquified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w:t>
      </w:r>
      <w:r>
        <w:rPr>
          <w:strike/>
        </w:rPr>
        <w:t xml:space="preserve">[,]</w:t>
      </w:r>
      <w:r>
        <w:rPr/>
        <w:t xml:space="preserve">))</w:t>
      </w:r>
      <w:r>
        <w:rPr>
          <w:u w:val="single"/>
        </w:rPr>
        <w:t xml:space="preserve">,</w:t>
      </w:r>
      <w:r>
        <w:rPr/>
        <w:t xml:space="preserve">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Except as provided in RCW 19.27.170, the Uniform Plumbing Code and Uniform Plumbing Code Standards, published by the International Association of Plumbing and Mechanical Officials: PROVIDED, That any provisions of such code affecting sewers or fuel gas piping are not adopted; and</w:t>
      </w:r>
    </w:p>
    <w:p>
      <w:pPr>
        <w:spacing w:before="0" w:after="0" w:line="408" w:lineRule="exact"/>
        <w:ind w:left="0" w:right="0" w:firstLine="576"/>
        <w:jc w:val="left"/>
      </w:pPr>
      <w:r>
        <w:rPr/>
        <w:t xml:space="preserve">(5) The rules adopted by the council establishing standards for making buildings and facilities accessible to and usable by ((</w:t>
      </w:r>
      <w:r>
        <w:rPr>
          <w:strike/>
        </w:rPr>
        <w:t xml:space="preserve">the physically disabled</w:t>
      </w:r>
      <w:r>
        <w:rPr/>
        <w:t xml:space="preserve">)) </w:t>
      </w:r>
      <w:r>
        <w:rPr>
          <w:u w:val="single"/>
        </w:rPr>
        <w:t xml:space="preserve">persons with physical disabilities</w:t>
      </w:r>
      <w:r>
        <w:rPr/>
        <w:t xml:space="preserve"> or elderly persons as provided in RCW 70.92.100 through 70.92.160.</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2002 c 135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w:t>
      </w:r>
      <w:r>
        <w:rPr>
          <w:u w:val="single"/>
        </w:rPr>
        <w:t xml:space="preserve">(a) The legislative body of a county or city, in exercising the authority provided under subsection (1) of this section to amend the code enumerated in RCW 19.27.031(1)(b), may not adopt amendments that regulate or restrict the minimum gross floor area for single-family detached dwellings.</w:t>
      </w:r>
    </w:p>
    <w:p>
      <w:pPr>
        <w:spacing w:before="0" w:after="0" w:line="408" w:lineRule="exact"/>
        <w:ind w:left="0" w:right="0" w:firstLine="576"/>
        <w:jc w:val="left"/>
      </w:pPr>
      <w:r>
        <w:rPr>
          <w:u w:val="single"/>
        </w:rPr>
        <w:t xml:space="preserve">(b) (a) of this subsection does not apply to cities with a population of one hundred twenty-five thousand or more, as determined by the last federal census.</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provisions of this chapter shall not apply to any building four or more stories high with a B occupancy as defined by the uniform building code, 1982 edition, and with a city fire insurance rating of 1, 2, or 3 as defined by a recognized fire rating bureau or organization.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 T</w:t>
      </w:r>
      <w:r>
        <w:rPr/>
        <w:t xml:space="preserve">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Except as provided in subsection (2) of this section,</w:t>
      </w:r>
      <w:r>
        <w:rPr/>
        <w:t xml:space="preserve"> the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and ((</w:t>
      </w:r>
      <w:r>
        <w:rPr>
          <w:strike/>
        </w:rPr>
        <w:t xml:space="preserve">may</w:t>
      </w:r>
      <w:r>
        <w:rPr/>
        <w:t xml:space="preserve">))</w:t>
      </w:r>
    </w:p>
    <w:p>
      <w:pPr>
        <w:spacing w:before="0" w:after="0" w:line="408" w:lineRule="exact"/>
        <w:ind w:left="0" w:right="0" w:firstLine="576"/>
        <w:jc w:val="left"/>
      </w:pPr>
      <w:r>
        <w:rPr>
          <w:u w:val="single"/>
        </w:rPr>
        <w:t xml:space="preserve">(b) E</w:t>
      </w:r>
      <w:r>
        <w:rPr/>
        <w:t xml:space="preserve">ncourage and protect access to direct sunlight for solar energy systems.</w:t>
      </w:r>
    </w:p>
    <w:p>
      <w:pPr>
        <w:spacing w:before="0" w:after="0" w:line="408" w:lineRule="exact"/>
        <w:ind w:left="0" w:right="0" w:firstLine="576"/>
        <w:jc w:val="left"/>
      </w:pPr>
      <w:r>
        <w:t>((</w:t>
      </w:r>
      <w:r>
        <w:rPr>
          <w:strike/>
        </w:rPr>
        <w:t xml:space="preserve">A</w:t>
      </w:r>
      <w:r>
        <w:t>))</w:t>
      </w:r>
      <w:r>
        <w:rPr/>
        <w:t xml:space="preserve"> </w:t>
      </w:r>
      <w:r>
        <w:rPr>
          <w:u w:val="single"/>
        </w:rPr>
        <w:t xml:space="preserve">(2) The council of a city with a population of less than one hundred twenty-five thousand, as determined by the last federal census, or a board may not regulate or restrict the minimum gross floor area for single-family detached dwellings.</w:t>
      </w:r>
    </w:p>
    <w:p>
      <w:pPr>
        <w:spacing w:before="0" w:after="0" w:line="408" w:lineRule="exact"/>
        <w:ind w:left="0" w:right="0" w:firstLine="576"/>
        <w:jc w:val="left"/>
      </w:pPr>
      <w:r>
        <w:rPr>
          <w:u w:val="single"/>
        </w:rPr>
        <w:t xml:space="preserve">(3)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rPr>
          <w:strike/>
        </w:rPr>
        <w:t xml:space="preserve">, and</w:t>
      </w:r>
      <w:r>
        <w:rPr/>
        <w:t xml:space="preserve">))</w:t>
      </w:r>
      <w:r>
        <w:rPr>
          <w:u w:val="single"/>
        </w:rPr>
        <w:t xml:space="preserve">; except as provided in (b) of this subsection,</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rPr>
          <w:strike/>
        </w:rPr>
        <w:t xml:space="preserve">,</w:t>
      </w:r>
      <w:r>
        <w:rPr/>
        <w:t xml:space="preserve">))</w:t>
      </w:r>
      <w:r>
        <w:rPr>
          <w:u w:val="single"/>
        </w:rPr>
        <w:t xml:space="preserve">;</w:t>
      </w:r>
      <w:r>
        <w:rPr/>
        <w:t xml:space="preserve"> density of population((</w:t>
      </w:r>
      <w:r>
        <w:rPr>
          <w:strike/>
        </w:rPr>
        <w:t xml:space="preserve">,</w:t>
      </w:r>
      <w:r>
        <w:rPr/>
        <w:t xml:space="preserve">))</w:t>
      </w:r>
      <w:r>
        <w:rPr>
          <w:u w:val="single"/>
        </w:rPr>
        <w:t xml:space="preserve">;</w:t>
      </w:r>
      <w:r>
        <w:rPr/>
        <w:t xml:space="preserve"> ratio of land area to the area of buildings and structures((</w:t>
      </w:r>
      <w:r>
        <w:rPr>
          <w:strike/>
        </w:rPr>
        <w:t xml:space="preserve">,</w:t>
      </w:r>
      <w:r>
        <w:rPr/>
        <w:t xml:space="preserve">))</w:t>
      </w:r>
      <w:r>
        <w:rPr>
          <w:u w:val="single"/>
        </w:rPr>
        <w:t xml:space="preserve">;</w:t>
      </w:r>
      <w:r>
        <w:rPr/>
        <w:t xml:space="preserve"> setbacks((</w:t>
      </w:r>
      <w:r>
        <w:rPr>
          <w:strike/>
        </w:rPr>
        <w:t xml:space="preserve">,</w:t>
      </w:r>
      <w:r>
        <w:rPr/>
        <w:t xml:space="preserve">))</w:t>
      </w:r>
      <w:r>
        <w:rPr>
          <w:u w:val="single"/>
        </w:rPr>
        <w:t xml:space="preserve">;</w:t>
      </w:r>
      <w:r>
        <w:rPr/>
        <w:t xml:space="preserve"> area required for off-street parking((</w:t>
      </w:r>
      <w:r>
        <w:rPr>
          <w:strike/>
        </w:rPr>
        <w:t xml:space="preserve">,</w:t>
      </w:r>
      <w:r>
        <w:rPr/>
        <w:t xml:space="preserve">))</w:t>
      </w:r>
      <w:r>
        <w:rPr>
          <w:u w:val="single"/>
        </w:rPr>
        <w:t xml:space="preserve">;</w:t>
      </w:r>
      <w:r>
        <w:rPr/>
        <w:t xml:space="preserve"> protection of access to direct sunlight for solar energy systems((</w:t>
      </w:r>
      <w:r>
        <w:rPr>
          <w:strike/>
        </w:rPr>
        <w:t xml:space="preserve">,</w:t>
      </w:r>
      <w:r>
        <w:rPr/>
        <w:t xml:space="preserve">))</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(b) The legislative body of a city with a population of less than one hundred twenty-five thousand</w:t>
      </w:r>
      <w:r>
        <w:rPr>
          <w:u w:val="single"/>
        </w:rPr>
        <w:t xml:space="preserve">, as determined by the last federal census,</w:t>
      </w:r>
      <w:r>
        <w:rPr>
          <w:u w:val="single"/>
        </w:rPr>
        <w:t xml:space="preserve"> may not regulate or restrict the minimum gross floor area for single-family detached dwellings.</w:t>
      </w:r>
    </w:p>
    <w:p>
      <w:pPr>
        <w:spacing w:before="0" w:after="0" w:line="408" w:lineRule="exact"/>
        <w:ind w:left="0" w:right="0" w:firstLine="576"/>
        <w:jc w:val="left"/>
      </w:pPr>
      <w:r>
        <w:rPr>
          <w:u w:val="single"/>
        </w:rPr>
        <w:t xml:space="preserve">(c)</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w:t>
      </w:r>
      <w:r>
        <w:t xml:space="preserve">36</w:t>
      </w:r>
      <w:r>
        <w:rPr/>
        <w:t xml:space="preserve">.</w:t>
      </w:r>
      <w:r>
        <w:t xml:space="preserve">43</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 The boards of county commissioners may not adopt regulations that restrict the minimum gross floor area for single-family detached dwellings.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w:t>
      </w:r>
      <w:r>
        <w:t xml:space="preserve">36</w:t>
      </w:r>
      <w:r>
        <w:rPr/>
        <w:t xml:space="preserve">.</w:t>
      </w:r>
      <w:r>
        <w:t xml:space="preserve">70</w:t>
      </w:r>
      <w:r>
        <w:rPr/>
        <w:t xml:space="preserve">.</w:t>
      </w:r>
      <w:r>
        <w:t xml:space="preserve">750</w:t>
      </w:r>
      <w:r>
        <w:rPr/>
        <w:t xml:space="preserve"> are each amended to read as follows:</w:t>
      </w:r>
    </w:p>
    <w:p>
      <w:pPr>
        <w:spacing w:before="0" w:after="0" w:line="408" w:lineRule="exact"/>
        <w:ind w:left="0" w:right="0" w:firstLine="576"/>
        <w:jc w:val="left"/>
      </w:pPr>
      <w:r>
        <w:rPr/>
        <w:t xml:space="preserve">Any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t xml:space="preserve"> </w:t>
      </w:r>
      <w:r>
        <w:rPr>
          <w:u w:val="single"/>
        </w:rPr>
        <w:t xml:space="preserve">T</w:t>
      </w:r>
      <w:r>
        <w:rPr/>
        <w:t xml:space="preserve">he use of buildings, structures, and land as between agriculture, industry, business, residence, and other purposes;</w:t>
      </w:r>
    </w:p>
    <w:p>
      <w:pPr>
        <w:spacing w:before="0" w:after="0" w:line="408" w:lineRule="exact"/>
        <w:ind w:left="0" w:right="0" w:firstLine="576"/>
        <w:jc w:val="left"/>
      </w:pPr>
      <w:r>
        <w:rPr/>
        <w:t xml:space="preserve">(2) </w:t>
      </w:r>
      <w:r>
        <w:t>((</w:t>
      </w:r>
      <w:r>
        <w:rPr>
          <w:strike/>
        </w:rPr>
        <w:t xml:space="preserve">Regulate</w:t>
      </w:r>
      <w:r>
        <w:t>))</w:t>
      </w:r>
      <w:r>
        <w:rPr/>
        <w:t xml:space="preserve"> </w:t>
      </w:r>
      <w:r>
        <w:rPr>
          <w:u w:val="single"/>
        </w:rPr>
        <w:t xml:space="preserve">Except for the minimum gross floor area for single-family detached dwellings, 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p>
    <w:p/>
    <w:p>
      <w:pPr>
        <w:jc w:val="center"/>
      </w:pPr>
      <w:r>
        <w:rPr>
          <w:b/>
        </w:rPr>
        <w:t>--- END ---</w:t>
      </w:r>
    </w:p>
    <w:sectPr>
      <w:pgNumType w:start="1"/>
      <w:footerReference xmlns:r="http://schemas.openxmlformats.org/officeDocument/2006/relationships" r:id="R3b4e729ea6b94b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8214254674bd2" /><Relationship Type="http://schemas.openxmlformats.org/officeDocument/2006/relationships/footer" Target="/word/footer.xml" Id="R3b4e729ea6b94b0a" /></Relationships>
</file>