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feac09e800473b" /></Relationships>
</file>

<file path=word/document.xml><?xml version="1.0" encoding="utf-8"?>
<w:document xmlns:w="http://schemas.openxmlformats.org/wordprocessingml/2006/main">
  <w:body>
    <w:p>
      <w:r>
        <w:t>H-0242.1</w:t>
      </w:r>
    </w:p>
    <w:p>
      <w:pPr>
        <w:jc w:val="center"/>
      </w:pPr>
      <w:r>
        <w:t>_______________________________________________</w:t>
      </w:r>
    </w:p>
    <w:p/>
    <w:p>
      <w:pPr>
        <w:jc w:val="center"/>
      </w:pPr>
      <w:r>
        <w:rPr>
          <w:b/>
        </w:rPr>
        <w:t>HOUSE BILL 1103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Zeiger, Moeller, Rodne, Cody, Harris, Clibborn, Riccelli, Kagi, and Gregerson</w:t>
      </w:r>
    </w:p>
    <w:p/>
    <w:p>
      <w:r>
        <w:rPr>
          <w:t xml:space="preserve">Prefiled 01/09/15.</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the prescription drug monitoring database for clinical laboratories; amending RCW 70.225.040; and adding new sections to chapter 70.225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w:t>
      </w:r>
      <w:r>
        <w:t>((</w:t>
      </w:r>
      <w:r>
        <w:rPr>
          <w:strike/>
        </w:rPr>
        <w:t xml:space="preserve">shall</w:t>
      </w:r>
      <w:r>
        <w:t>))</w:t>
      </w:r>
      <w:r>
        <w:rPr>
          <w:u w:val="single"/>
        </w:rPr>
        <w:t xml:space="preserve">must</w:t>
      </w:r>
      <w:r>
        <w:rPr/>
        <w:t xml:space="preserve">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local, state, and federal law enforcement or prosecutorial officials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w:t>
      </w:r>
      <w:r>
        <w:t>((</w:t>
      </w:r>
      <w:r>
        <w:rPr>
          <w:strike/>
        </w:rPr>
        <w:t xml:space="preserve">and</w:t>
      </w:r>
      <w:r>
        <w:t>))</w:t>
      </w:r>
    </w:p>
    <w:p>
      <w:pPr>
        <w:spacing w:before="0" w:after="0" w:line="408" w:lineRule="exact"/>
        <w:ind w:left="0" w:right="0" w:firstLine="576"/>
        <w:jc w:val="left"/>
      </w:pPr>
      <w:r>
        <w:rPr/>
        <w:t xml:space="preserve">(i) Personnel of the department for purposes of administration and enforcement of this chapter or chapter 69.50 RCW</w:t>
      </w:r>
      <w:r>
        <w:rPr>
          <w:u w:val="single"/>
        </w:rPr>
        <w:t xml:space="preserve">; and</w:t>
      </w:r>
    </w:p>
    <w:p>
      <w:pPr>
        <w:spacing w:before="0" w:after="0" w:line="408" w:lineRule="exact"/>
        <w:ind w:left="0" w:right="0" w:firstLine="576"/>
        <w:jc w:val="left"/>
      </w:pPr>
      <w:r>
        <w:rPr>
          <w:u w:val="single"/>
        </w:rPr>
        <w:t xml:space="preserve">(j) Personnel of a test site that meet the standards under subsection (2) of this section pursuant to an agreement between the test site and a person identified in (a) of this subsection to provide assistance in determining which medications are being used by an identified patient who is under the care of that person</w:t>
      </w:r>
      <w:r>
        <w:rPr/>
        <w:t xml:space="preserve">.</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Test sites that may receive access to data in the prescription monitoring program under RCW 70.225.040 must be:</w:t>
      </w:r>
    </w:p>
    <w:p>
      <w:pPr>
        <w:spacing w:before="0" w:after="0" w:line="408" w:lineRule="exact"/>
        <w:ind w:left="0" w:right="0" w:firstLine="576"/>
        <w:jc w:val="left"/>
      </w:pPr>
      <w:r>
        <w:rPr/>
        <w:t xml:space="preserve">(1) Physically located in Washington state;</w:t>
      </w:r>
    </w:p>
    <w:p>
      <w:pPr>
        <w:spacing w:before="0" w:after="0" w:line="408" w:lineRule="exact"/>
        <w:ind w:left="0" w:right="0" w:firstLine="576"/>
        <w:jc w:val="left"/>
      </w:pPr>
      <w:r>
        <w:rPr/>
        <w:t xml:space="preserve">(2) Licensed by the department as a test site under chapter 70.42 RCW; and</w:t>
      </w:r>
    </w:p>
    <w:p>
      <w:pPr>
        <w:spacing w:before="0" w:after="0" w:line="408" w:lineRule="exact"/>
        <w:ind w:left="0" w:right="0" w:firstLine="576"/>
        <w:jc w:val="left"/>
      </w:pPr>
      <w:r>
        <w:rPr/>
        <w:t xml:space="preserve">(3) Certified as a drug testing laboratory by the United States department of health and human services, substance abuse and mental health services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Laboratories that qualify under section 2 of this act may not store data accessed from the prescription drug monitoring database in any form, including but not limited to hard copies, electronic copies, or web/digital based copies of any kind. Further, such data may be used only to transmit to those entities listed in RCW 70.255.040(3).</w:t>
      </w:r>
    </w:p>
    <w:p>
      <w:pPr>
        <w:spacing w:before="0" w:after="0" w:line="408" w:lineRule="exact"/>
        <w:ind w:left="0" w:right="0" w:firstLine="576"/>
        <w:jc w:val="left"/>
      </w:pPr>
      <w:r>
        <w:rPr/>
        <w:t xml:space="preserve">(1) Access to such data in the qualifying laboratory must be under the supervision of the responsible person as designated by the United States department of health and human services, substance abuse and mental health services administration certification program.</w:t>
      </w:r>
    </w:p>
    <w:p>
      <w:pPr>
        <w:spacing w:before="0" w:after="0" w:line="408" w:lineRule="exact"/>
        <w:ind w:left="0" w:right="0" w:firstLine="576"/>
        <w:jc w:val="left"/>
      </w:pPr>
      <w:r>
        <w:rPr/>
        <w:t xml:space="preserve">(2) Such data cannot be gathered, shared, sold, or used in any manner other than as designated under RCW 70.255.040, section 2 of this act, or this section.</w:t>
      </w:r>
    </w:p>
    <w:p/>
    <w:p>
      <w:pPr>
        <w:jc w:val="center"/>
      </w:pPr>
      <w:r>
        <w:rPr>
          <w:b/>
        </w:rPr>
        <w:t>--- END ---</w:t>
      </w:r>
    </w:p>
    <w:sectPr>
      <w:pgNumType w:start="1"/>
      <w:footerReference xmlns:r="http://schemas.openxmlformats.org/officeDocument/2006/relationships" r:id="R0b0ad19831704e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7497703c6346cd" /><Relationship Type="http://schemas.openxmlformats.org/officeDocument/2006/relationships/footer" Target="/word/footer.xml" Id="R0b0ad19831704e87" /></Relationships>
</file>