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617bc00f34cf4" /></Relationships>
</file>

<file path=word/document.xml><?xml version="1.0" encoding="utf-8"?>
<w:document xmlns:w="http://schemas.openxmlformats.org/wordprocessingml/2006/main">
  <w:body>
    <w:p>
      <w:r>
        <w:t>H-0450.2</w:t>
      </w:r>
    </w:p>
    <w:p>
      <w:pPr>
        <w:jc w:val="center"/>
      </w:pPr>
      <w:r>
        <w:t>_______________________________________________</w:t>
      </w:r>
    </w:p>
    <w:p/>
    <w:p>
      <w:pPr>
        <w:jc w:val="center"/>
      </w:pPr>
      <w:r>
        <w:rPr>
          <w:b/>
        </w:rPr>
        <w:t>HOUSE BILL 1100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S. Hunt, Hudgins, Ormsby, and Fey</w:t>
      </w:r>
    </w:p>
    <w:p/>
    <w:p>
      <w:r>
        <w:rPr>
          <w:t xml:space="preserve">Prefiled 01/09/15.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new appliance efficiency standards; amending RCW 19.260.030, 19.260.040, and 19.260.050; and reenacting and amending RCW 19.260.020.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t xml:space="preserve">(2) "Bottle-type water dispenser" means a water dispenser that uses a bottle or reservoir as the source of potable water.</w:t>
      </w:r>
    </w:p>
    <w:p>
      <w:pPr>
        <w:spacing w:before="0" w:after="0" w:line="408" w:lineRule="exact"/>
        <w:ind w:left="0" w:right="0" w:firstLine="576"/>
        <w:jc w:val="left"/>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t xml:space="preserve">(5) "Compensation" means money or any other valuable thing, regardless of form, received or to be received by a person for services rendered.</w:t>
      </w:r>
    </w:p>
    <w:p>
      <w:pPr>
        <w:spacing w:before="0" w:after="0" w:line="408" w:lineRule="exact"/>
        <w:ind w:left="0" w:right="0" w:firstLine="576"/>
        <w:jc w:val="left"/>
      </w:pPr>
      <w:r>
        <w:rPr/>
        <w:t xml:space="preserve">(6)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(10) "Hot water dispenser" means a small electric water heater that has a measured storage volume of no greater than one gallon.</w:t>
      </w:r>
    </w:p>
    <w:p>
      <w:pPr>
        <w:spacing w:before="0" w:after="0" w:line="408" w:lineRule="exact"/>
        <w:ind w:left="0" w:right="0" w:firstLine="576"/>
        <w:jc w:val="left"/>
      </w:pPr>
      <w:r>
        <w:rPr/>
        <w:t xml:space="preserve">(11)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t xml:space="preserve">(13) "Point-of-use water dispenser" means a water dispenser that uses a pressurized water utility connection as the source of potable water.</w:t>
      </w:r>
    </w:p>
    <w:p>
      <w:pPr>
        <w:spacing w:before="0" w:after="0" w:line="408" w:lineRule="exact"/>
        <w:ind w:left="0" w:right="0" w:firstLine="576"/>
        <w:jc w:val="left"/>
      </w:pPr>
      <w:r>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t xml:space="preserve">(15) "Portable electric spa" means a factory-built electric spa or hot tub, supplied with equipment for heating and circulating water.</w:t>
      </w:r>
    </w:p>
    <w:p>
      <w:pPr>
        <w:spacing w:before="0" w:after="0" w:line="408" w:lineRule="exact"/>
        <w:ind w:left="0" w:right="0" w:firstLine="576"/>
        <w:jc w:val="left"/>
      </w:pPr>
      <w:r>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t xml:space="preserve">(17) "Residential pool pump" means a pump used to circulate and filter pool water in order to maintain clarity and sanitation.</w:t>
      </w:r>
    </w:p>
    <w:p>
      <w:pPr>
        <w:spacing w:before="0" w:after="0" w:line="408" w:lineRule="exact"/>
        <w:ind w:left="0" w:right="0" w:firstLine="576"/>
        <w:jc w:val="left"/>
      </w:pPr>
      <w:r>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t xml:space="preserve">(19) "Showerhead" means a device through which water is discharged for a shower bath.</w:t>
      </w:r>
    </w:p>
    <w:p>
      <w:pPr>
        <w:spacing w:before="0" w:after="0" w:line="408" w:lineRule="exact"/>
        <w:ind w:left="0" w:right="0" w:firstLine="576"/>
        <w:jc w:val="left"/>
      </w:pPr>
      <w:r>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t xml:space="preserve">(a) A bulged reflector or elliptical reflector bulb shape and which has a diameter which equals or exceeds 2.25 inches; or</w:t>
      </w:r>
    </w:p>
    <w:p>
      <w:pPr>
        <w:spacing w:before="0" w:after="0" w:line="408" w:lineRule="exact"/>
        <w:ind w:left="0" w:right="0" w:firstLine="576"/>
        <w:jc w:val="left"/>
      </w:pPr>
      <w:r>
        <w:rPr/>
        <w:t xml:space="preserve">(b) A reflector, parabolic aluminized reflector, or similar bulb shape and which has a diameter of 2.25 to 2.75 inches.</w:t>
      </w:r>
    </w:p>
    <w:p>
      <w:pPr>
        <w:spacing w:before="0" w:after="0" w:line="408" w:lineRule="exact"/>
        <w:ind w:left="0" w:right="0" w:firstLine="576"/>
        <w:jc w:val="left"/>
      </w:pPr>
      <w:r>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t xml:space="preserve">(23)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(24) "À la carte charger" means a battery charger that is individually packaged without batteries. "À la carte charger" includes those with multivoltage or multiport capabilities.</w:t>
      </w:r>
    </w:p>
    <w:p>
      <w:pPr>
        <w:spacing w:before="0" w:after="0" w:line="408" w:lineRule="exact"/>
        <w:ind w:left="0" w:right="0" w:firstLine="576"/>
        <w:jc w:val="left"/>
      </w:pPr>
      <w:r>
        <w:rPr>
          <w:u w:val="single"/>
        </w:rPr>
        <w:t xml:space="preserve">(25) "Battery analyzer" means a device:</w:t>
      </w:r>
    </w:p>
    <w:p>
      <w:pPr>
        <w:spacing w:before="0" w:after="0" w:line="408" w:lineRule="exact"/>
        <w:ind w:left="0" w:right="0" w:firstLine="576"/>
        <w:jc w:val="left"/>
      </w:pPr>
      <w:r>
        <w:rPr>
          <w:u w:val="single"/>
        </w:rPr>
        <w:t xml:space="preserve">(a) Used to analyze and report a battery's performance and overall condition;</w:t>
      </w:r>
    </w:p>
    <w:p>
      <w:pPr>
        <w:spacing w:before="0" w:after="0" w:line="408" w:lineRule="exact"/>
        <w:ind w:left="0" w:right="0" w:firstLine="576"/>
        <w:jc w:val="left"/>
      </w:pPr>
      <w:r>
        <w:rPr>
          <w:u w:val="single"/>
        </w:rPr>
        <w:t xml:space="preserve">(b) Capable of being programmed and performing service functions to restore capability in deficient batteries; and</w:t>
      </w:r>
    </w:p>
    <w:p>
      <w:pPr>
        <w:spacing w:before="0" w:after="0" w:line="408" w:lineRule="exact"/>
        <w:ind w:left="0" w:right="0" w:firstLine="576"/>
        <w:jc w:val="left"/>
      </w:pPr>
      <w:r>
        <w:rPr>
          <w:u w:val="single"/>
        </w:rPr>
        <w:t xml:space="preserve">(c) Not intended or marketed to be used on a daily basis for the purpose of charging batteries.</w:t>
      </w:r>
    </w:p>
    <w:p>
      <w:pPr>
        <w:spacing w:before="0" w:after="0" w:line="408" w:lineRule="exact"/>
        <w:ind w:left="0" w:right="0" w:firstLine="576"/>
        <w:jc w:val="left"/>
      </w:pPr>
      <w:r>
        <w:rPr>
          <w:u w:val="single"/>
        </w:rPr>
        <w:t xml:space="preserve">(26) "Battery backup" or "uninterruptible power supply charger" means a small battery charger system that is voltage and frequency dependent and designed to provide power to an end-use product in the event of a power outage, and includes an uninterruptible power supply charger as defined in IEC 62040-3 ed.2.0 (March 2011). The output of the voltage and frequency dependent uninterruptible power supply charger is dependent on changes in AC input voltage and frequency and is not intended to provide additional corrective functions, such as those relating to the use of tapped transformers.</w:t>
      </w:r>
    </w:p>
    <w:p>
      <w:pPr>
        <w:spacing w:before="0" w:after="0" w:line="408" w:lineRule="exact"/>
        <w:ind w:left="0" w:right="0" w:firstLine="576"/>
        <w:jc w:val="left"/>
      </w:pPr>
      <w:r>
        <w:rPr>
          <w:u w:val="single"/>
        </w:rPr>
        <w:t xml:space="preserve">(27) "Battery charger systems" means a battery charger coupled with its batteries or battery chargers coupled with their batteries, which together are referred to as battery charger systems. This term covers all rechargeable batteries or devices incorporating a rechargeable battery and the chargers used with them. The charging circuitry of battery charger systems may or may not be located within the housing of the end-use device itself. In many cases, the battery may be charged with a dedicated external charger and power supply combination that is separate from the device that runs on power from the battery. Battery charger systems include, but are not limited to:</w:t>
      </w:r>
    </w:p>
    <w:p>
      <w:pPr>
        <w:spacing w:before="0" w:after="0" w:line="408" w:lineRule="exact"/>
        <w:ind w:left="0" w:right="0" w:firstLine="576"/>
        <w:jc w:val="left"/>
      </w:pPr>
      <w:r>
        <w:rPr>
          <w:u w:val="single"/>
        </w:rPr>
        <w:t xml:space="preserve">(a) Electronic devices with a battery that are normally charged with AC line voltage or DC input voltage through an internal or external power supply and a dedicated battery charger;</w:t>
      </w:r>
    </w:p>
    <w:p>
      <w:pPr>
        <w:spacing w:before="0" w:after="0" w:line="408" w:lineRule="exact"/>
        <w:ind w:left="0" w:right="0" w:firstLine="576"/>
        <w:jc w:val="left"/>
      </w:pPr>
      <w:r>
        <w:rPr>
          <w:u w:val="single"/>
        </w:rPr>
        <w:t xml:space="preserve">(b) The battery and battery charger components of devices that are designed to run on battery power during part or all of their operations;</w:t>
      </w:r>
    </w:p>
    <w:p>
      <w:pPr>
        <w:spacing w:before="0" w:after="0" w:line="408" w:lineRule="exact"/>
        <w:ind w:left="0" w:right="0" w:firstLine="576"/>
        <w:jc w:val="left"/>
      </w:pPr>
      <w:r>
        <w:rPr>
          <w:u w:val="single"/>
        </w:rPr>
        <w:t xml:space="preserve">(c) Dedicated battery systems primarily designed for electrical or emergency backup; and</w:t>
      </w:r>
    </w:p>
    <w:p>
      <w:pPr>
        <w:spacing w:before="0" w:after="0" w:line="408" w:lineRule="exact"/>
        <w:ind w:left="0" w:right="0" w:firstLine="576"/>
        <w:jc w:val="left"/>
      </w:pPr>
      <w:r>
        <w:rPr>
          <w:u w:val="single"/>
        </w:rPr>
        <w:t xml:space="preserve">(d) Devices whose primary function is to charge batteries, along with the batteries they are designed to charge. These units include chargers for power tool batteries and chargers for automotive, AA, AAA, C, D, or 9 V rechargeable batteries, as well as chargers for batteries used in larger industrial motive equipment and à la carte chargers.</w:t>
      </w:r>
    </w:p>
    <w:p>
      <w:pPr>
        <w:spacing w:before="0" w:after="0" w:line="408" w:lineRule="exact"/>
        <w:ind w:left="0" w:right="0" w:firstLine="576"/>
        <w:jc w:val="left"/>
      </w:pPr>
      <w:r>
        <w:rPr>
          <w:u w:val="single"/>
        </w:rPr>
        <w:t xml:space="preserve">(28) "Consumer product" means any article that when operated consumes energy including articles that to any significant extent are distributed in commerce for personal use or consumption by individuals. "Consumer product" does not include an automobile as defined in 49 U.S.C. Sec. 32901(a)(3).</w:t>
      </w:r>
    </w:p>
    <w:p>
      <w:pPr>
        <w:spacing w:before="0" w:after="0" w:line="408" w:lineRule="exact"/>
        <w:ind w:left="0" w:right="0" w:firstLine="576"/>
        <w:jc w:val="left"/>
      </w:pPr>
      <w:r>
        <w:rPr>
          <w:u w:val="single"/>
        </w:rPr>
        <w:t xml:space="preserve">(29) "High light output double-ended quartz halogen lamp" means a lamp that:</w:t>
      </w:r>
    </w:p>
    <w:p>
      <w:pPr>
        <w:spacing w:before="0" w:after="0" w:line="408" w:lineRule="exact"/>
        <w:ind w:left="0" w:right="0" w:firstLine="576"/>
        <w:jc w:val="left"/>
      </w:pPr>
      <w:r>
        <w:rPr>
          <w:u w:val="single"/>
        </w:rPr>
        <w:t xml:space="preserve">(a) Is designed for general outdoor lighting purposes;</w:t>
      </w:r>
    </w:p>
    <w:p>
      <w:pPr>
        <w:spacing w:before="0" w:after="0" w:line="408" w:lineRule="exact"/>
        <w:ind w:left="0" w:right="0" w:firstLine="576"/>
        <w:jc w:val="left"/>
      </w:pPr>
      <w:r>
        <w:rPr>
          <w:u w:val="single"/>
        </w:rPr>
        <w:t xml:space="preserve">(b) Contains a tungsten filament;</w:t>
      </w:r>
    </w:p>
    <w:p>
      <w:pPr>
        <w:spacing w:before="0" w:after="0" w:line="408" w:lineRule="exact"/>
        <w:ind w:left="0" w:right="0" w:firstLine="576"/>
        <w:jc w:val="left"/>
      </w:pPr>
      <w:r>
        <w:rPr>
          <w:u w:val="single"/>
        </w:rPr>
        <w:t xml:space="preserve">(c) Has a rated initial lumen value of greater than 6,000 and less than 40,000 lumens;</w:t>
      </w:r>
    </w:p>
    <w:p>
      <w:pPr>
        <w:spacing w:before="0" w:after="0" w:line="408" w:lineRule="exact"/>
        <w:ind w:left="0" w:right="0" w:firstLine="576"/>
        <w:jc w:val="left"/>
      </w:pPr>
      <w:r>
        <w:rPr>
          <w:u w:val="single"/>
        </w:rPr>
        <w:t xml:space="preserve">(d) Has at each end a recessed single contact, R7s base;</w:t>
      </w:r>
    </w:p>
    <w:p>
      <w:pPr>
        <w:spacing w:before="0" w:after="0" w:line="408" w:lineRule="exact"/>
        <w:ind w:left="0" w:right="0" w:firstLine="576"/>
        <w:jc w:val="left"/>
      </w:pPr>
      <w:r>
        <w:rPr>
          <w:u w:val="single"/>
        </w:rPr>
        <w:t xml:space="preserve">(e) Has a maximum overall length between four and eleven inches;</w:t>
      </w:r>
    </w:p>
    <w:p>
      <w:pPr>
        <w:spacing w:before="0" w:after="0" w:line="408" w:lineRule="exact"/>
        <w:ind w:left="0" w:right="0" w:firstLine="576"/>
        <w:jc w:val="left"/>
      </w:pPr>
      <w:r>
        <w:rPr>
          <w:u w:val="single"/>
        </w:rPr>
        <w:t xml:space="preserve">(f) Has a nominal diameter less than 3/4 inch;</w:t>
      </w:r>
    </w:p>
    <w:p>
      <w:pPr>
        <w:spacing w:before="0" w:after="0" w:line="408" w:lineRule="exact"/>
        <w:ind w:left="0" w:right="0" w:firstLine="576"/>
        <w:jc w:val="left"/>
      </w:pPr>
      <w:r>
        <w:rPr>
          <w:u w:val="single"/>
        </w:rPr>
        <w:t xml:space="preserve">(g) Is designed to be operated at a voltage not less than 110 volts and not greater than 200 volts or is designed to be operated at a voltage between 235 volts and 300 volts;</w:t>
      </w:r>
    </w:p>
    <w:p>
      <w:pPr>
        <w:spacing w:before="0" w:after="0" w:line="408" w:lineRule="exact"/>
        <w:ind w:left="0" w:right="0" w:firstLine="576"/>
        <w:jc w:val="left"/>
      </w:pPr>
      <w:r>
        <w:rPr>
          <w:u w:val="single"/>
        </w:rPr>
        <w:t xml:space="preserve">(h) Is not a tubular quartz infrared heat lamp; and</w:t>
      </w:r>
    </w:p>
    <w:p>
      <w:pPr>
        <w:spacing w:before="0" w:after="0" w:line="408" w:lineRule="exact"/>
        <w:ind w:left="0" w:right="0" w:firstLine="576"/>
        <w:jc w:val="left"/>
      </w:pPr>
      <w:r>
        <w:rPr>
          <w:u w:val="single"/>
        </w:rPr>
        <w:t xml:space="preserve">(i) Is not a lamp marked and marketed as a stage and studio lamp with a rated life of 500 hours or less.</w:t>
      </w:r>
    </w:p>
    <w:p>
      <w:pPr>
        <w:spacing w:before="0" w:after="0" w:line="408" w:lineRule="exact"/>
        <w:ind w:left="0" w:right="0" w:firstLine="576"/>
        <w:jc w:val="left"/>
      </w:pPr>
      <w:r>
        <w:rPr>
          <w:u w:val="single"/>
        </w:rPr>
        <w:t xml:space="preserve">(30) "Illuminated exit sign" means:</w:t>
      </w:r>
    </w:p>
    <w:p>
      <w:pPr>
        <w:spacing w:before="0" w:after="0" w:line="408" w:lineRule="exact"/>
        <w:ind w:left="0" w:right="0" w:firstLine="576"/>
        <w:jc w:val="left"/>
      </w:pPr>
      <w:r>
        <w:rPr>
          <w:u w:val="single"/>
        </w:rPr>
        <w:t xml:space="preserve">(a) A sign that is designed to be permanently fixed in place to identify an exit; and</w:t>
      </w:r>
    </w:p>
    <w:p>
      <w:pPr>
        <w:spacing w:before="0" w:after="0" w:line="408" w:lineRule="exact"/>
        <w:ind w:left="0" w:right="0" w:firstLine="576"/>
        <w:jc w:val="left"/>
      </w:pPr>
      <w:r>
        <w:rPr>
          <w:u w:val="single"/>
        </w:rPr>
        <w:t xml:space="preserve">(b) A sign that: (i) Consists of an electrically powered integral light source that illuminates the legend "EXIT" and any directional indicators; and (ii) provides contrast between the legend, any directional indicators, and the background.</w:t>
      </w:r>
    </w:p>
    <w:p>
      <w:pPr>
        <w:spacing w:before="0" w:after="0" w:line="408" w:lineRule="exact"/>
        <w:ind w:left="0" w:right="0" w:firstLine="576"/>
        <w:jc w:val="left"/>
      </w:pPr>
      <w:r>
        <w:rPr>
          <w:u w:val="single"/>
        </w:rPr>
        <w:t xml:space="preserve">(31) "Large battery charger system" means a battery charger system, other than a battery charger system for golf carts, with a rated input power of more than two kilowatts.</w:t>
      </w:r>
    </w:p>
    <w:p>
      <w:pPr>
        <w:spacing w:before="0" w:after="0" w:line="408" w:lineRule="exact"/>
        <w:ind w:left="0" w:right="0" w:firstLine="576"/>
        <w:jc w:val="left"/>
      </w:pPr>
      <w:r>
        <w:rPr>
          <w:u w:val="single"/>
        </w:rPr>
        <w:t xml:space="preserve">(32) "Small battery charger system" means a battery charger system with a rated input power of two kilowatts or less, and includes golf cart battery charger systems regardless of the output power.</w:t>
      </w:r>
    </w:p>
    <w:p>
      <w:pPr>
        <w:spacing w:before="0" w:after="0" w:line="408" w:lineRule="exact"/>
        <w:ind w:left="0" w:right="0" w:firstLine="576"/>
        <w:jc w:val="left"/>
      </w:pPr>
      <w:r>
        <w:rPr>
          <w:u w:val="single"/>
        </w:rPr>
        <w:t xml:space="preserve">(33) "Small diameter directional lamp" means a multifaceted reflector (MR) lamp, a parabolic aluminized reflector (PAR) lamp, a reflector (R) lamp, and a directional light emitting diode replacement lamp that is less than or equal to 2.25 inches in diameter and that includes all wattage, lumen-output, center beam candle power, and color temperature offerings.</w:t>
      </w:r>
    </w:p>
    <w:p>
      <w:pPr>
        <w:spacing w:before="0" w:after="0" w:line="408" w:lineRule="exact"/>
        <w:ind w:left="0" w:right="0" w:firstLine="576"/>
        <w:jc w:val="left"/>
      </w:pPr>
      <w:r>
        <w:rPr>
          <w:u w:val="single"/>
        </w:rPr>
        <w:t xml:space="preserve">(34) "State-regulated light emitting diode lamp" or "LED lamp" means any LED lamp that:</w:t>
      </w:r>
    </w:p>
    <w:p>
      <w:pPr>
        <w:spacing w:before="0" w:after="0" w:line="408" w:lineRule="exact"/>
        <w:ind w:left="0" w:right="0" w:firstLine="576"/>
        <w:jc w:val="left"/>
      </w:pPr>
      <w:r>
        <w:rPr>
          <w:u w:val="single"/>
        </w:rPr>
        <w:t xml:space="preserve">(a) Produces light within 7 MacAdam steps of the black-body curve;</w:t>
      </w:r>
    </w:p>
    <w:p>
      <w:pPr>
        <w:spacing w:before="0" w:after="0" w:line="408" w:lineRule="exact"/>
        <w:ind w:left="0" w:right="0" w:firstLine="576"/>
        <w:jc w:val="left"/>
      </w:pPr>
      <w:r>
        <w:rPr>
          <w:u w:val="single"/>
        </w:rPr>
        <w:t xml:space="preserve">(b) Has an E12, E17, E26, or GU-24 socket; or</w:t>
      </w:r>
    </w:p>
    <w:p>
      <w:pPr>
        <w:spacing w:before="0" w:after="0" w:line="408" w:lineRule="exact"/>
        <w:ind w:left="0" w:right="0" w:firstLine="576"/>
        <w:jc w:val="left"/>
      </w:pPr>
      <w:r>
        <w:rPr>
          <w:u w:val="single"/>
        </w:rPr>
        <w:t xml:space="preserve">(c) Is an integrated LED lamp that includes trims and is designed to be retrofitted within existing recessed can housings that contain one of the preceding socket types.</w:t>
      </w:r>
    </w:p>
    <w:p>
      <w:pPr>
        <w:spacing w:before="0" w:after="0" w:line="408" w:lineRule="exact"/>
        <w:ind w:left="0" w:right="0" w:firstLine="576"/>
        <w:jc w:val="left"/>
      </w:pPr>
      <w:r>
        <w:rPr>
          <w:u w:val="single"/>
        </w:rPr>
        <w:t xml:space="preserve">(35) "HVAC air filter" means an air-cleaning device used to remove particulate matter from the air and installed in forced-air heating or cooling equipment for a space conditioning or ventilation system.</w:t>
      </w:r>
    </w:p>
    <w:p>
      <w:pPr>
        <w:spacing w:before="0" w:after="0" w:line="408" w:lineRule="exact"/>
        <w:ind w:left="0" w:right="0" w:firstLine="576"/>
        <w:jc w:val="left"/>
      </w:pPr>
      <w:r>
        <w:rPr>
          <w:u w:val="single"/>
        </w:rPr>
        <w:t xml:space="preserve">(36) "Deep-dimming fluorescent ballast" means a fluorescent ballast that is capable of operating lamps in dimmed operating modes at any number of levels at or below 50 percent of full output.</w:t>
      </w:r>
    </w:p>
    <w:p>
      <w:pPr>
        <w:spacing w:before="0" w:after="0" w:line="408" w:lineRule="exact"/>
        <w:ind w:left="0" w:right="0" w:firstLine="576"/>
        <w:jc w:val="left"/>
      </w:pPr>
      <w:r>
        <w:rPr>
          <w:u w:val="single"/>
        </w:rPr>
        <w:t xml:space="preserve">(37) "Heat-pump water-chilling package" means a factory-made package of one or more compressors, condensers, and evaporators designed for the purpose of heating water. Where this equipment is provided in more than one assembly, the separate assemblies are designed to be used together. The package is specifically designed to make use of the refrigerant cycle to remove heat from an air or water source and to reject the heat to water for heating use. This unit may involve valves to allow for reverse-cycle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Automatic commercial ice cube machines;</w:t>
      </w:r>
    </w:p>
    <w:p>
      <w:pPr>
        <w:spacing w:before="0" w:after="0" w:line="408" w:lineRule="exact"/>
        <w:ind w:left="0" w:right="0" w:firstLine="576"/>
        <w:jc w:val="left"/>
      </w:pPr>
      <w:r>
        <w:rPr/>
        <w:t xml:space="preserve">(b) Commercial refrigerators and freezers; </w:t>
      </w:r>
    </w:p>
    <w:p>
      <w:pPr>
        <w:spacing w:before="0" w:after="0" w:line="408" w:lineRule="exact"/>
        <w:ind w:left="0" w:right="0" w:firstLine="576"/>
        <w:jc w:val="left"/>
      </w:pPr>
      <w:r>
        <w:rPr/>
        <w:t xml:space="preserve">(c) State-regulated incandescent reflector lamps; </w:t>
      </w:r>
    </w:p>
    <w:p>
      <w:pPr>
        <w:spacing w:before="0" w:after="0" w:line="408" w:lineRule="exact"/>
        <w:ind w:left="0" w:right="0" w:firstLine="576"/>
        <w:jc w:val="left"/>
      </w:pPr>
      <w:r>
        <w:rPr/>
        <w:t xml:space="preserve">(d) Wine chillers designed and sold for use by an individual;</w:t>
      </w:r>
    </w:p>
    <w:p>
      <w:pPr>
        <w:spacing w:before="0" w:after="0" w:line="408" w:lineRule="exact"/>
        <w:ind w:left="0" w:right="0" w:firstLine="576"/>
        <w:jc w:val="left"/>
      </w:pPr>
      <w:r>
        <w:rPr/>
        <w:t xml:space="preserve">(e) Hot water dispensers and mini-tank electric water heaters;</w:t>
      </w:r>
    </w:p>
    <w:p>
      <w:pPr>
        <w:spacing w:before="0" w:after="0" w:line="408" w:lineRule="exact"/>
        <w:ind w:left="0" w:right="0" w:firstLine="576"/>
        <w:jc w:val="left"/>
      </w:pPr>
      <w:r>
        <w:rPr/>
        <w:t xml:space="preserve">(f) Bottle-type water dispensers and point-of</w:t>
      </w:r>
      <w:r>
        <w:rPr/>
        <w:noBreakHyphen/>
      </w:r>
      <w:r>
        <w:rPr/>
        <w:t xml:space="preserve">use water dispensers;</w:t>
      </w:r>
    </w:p>
    <w:p>
      <w:pPr>
        <w:spacing w:before="0" w:after="0" w:line="408" w:lineRule="exact"/>
        <w:ind w:left="0" w:right="0" w:firstLine="576"/>
        <w:jc w:val="left"/>
      </w:pPr>
      <w:r>
        <w:rPr/>
        <w:t xml:space="preserve">(g) Pool heaters, residential pool pumps, and portable electric spas;</w:t>
      </w:r>
    </w:p>
    <w:p>
      <w:pPr>
        <w:spacing w:before="0" w:after="0" w:line="408" w:lineRule="exact"/>
        <w:ind w:left="0" w:right="0" w:firstLine="576"/>
        <w:jc w:val="left"/>
      </w:pPr>
      <w:r>
        <w:rPr/>
        <w:t xml:space="preserve">(h) Tub spout diverters; </w:t>
      </w:r>
      <w:r>
        <w:t>((</w:t>
      </w:r>
      <w:r>
        <w:rPr>
          <w:strike/>
        </w:rPr>
        <w:t xml:space="preserve">and</w:t>
      </w:r>
      <w:r>
        <w:t>))</w:t>
      </w:r>
    </w:p>
    <w:p>
      <w:pPr>
        <w:spacing w:before="0" w:after="0" w:line="408" w:lineRule="exact"/>
        <w:ind w:left="0" w:right="0" w:firstLine="576"/>
        <w:jc w:val="left"/>
      </w:pPr>
      <w:r>
        <w:rPr/>
        <w:t xml:space="preserve">(i) Commercial hot food holding cabinets</w:t>
      </w:r>
      <w:r>
        <w:rPr>
          <w:u w:val="single"/>
        </w:rPr>
        <w:t xml:space="preserve">;</w:t>
      </w:r>
    </w:p>
    <w:p>
      <w:pPr>
        <w:spacing w:before="0" w:after="0" w:line="408" w:lineRule="exact"/>
        <w:ind w:left="0" w:right="0" w:firstLine="576"/>
        <w:jc w:val="left"/>
      </w:pPr>
      <w:r>
        <w:rPr>
          <w:u w:val="single"/>
        </w:rPr>
        <w:t xml:space="preserve">(j) High light output double-ended quartz halogen lamps;</w:t>
      </w:r>
    </w:p>
    <w:p>
      <w:pPr>
        <w:spacing w:before="0" w:after="0" w:line="408" w:lineRule="exact"/>
        <w:ind w:left="0" w:right="0" w:firstLine="576"/>
        <w:jc w:val="left"/>
      </w:pPr>
      <w:r>
        <w:rPr>
          <w:u w:val="single"/>
        </w:rPr>
        <w:t xml:space="preserve">(k) Battery charger systems, except those:</w:t>
      </w:r>
    </w:p>
    <w:p>
      <w:pPr>
        <w:spacing w:before="0" w:after="0" w:line="408" w:lineRule="exact"/>
        <w:ind w:left="0" w:right="0" w:firstLine="576"/>
        <w:jc w:val="left"/>
      </w:pPr>
      <w:r>
        <w:rPr>
          <w:u w:val="single"/>
        </w:rPr>
        <w:t xml:space="preserve">(i) Used to charge a motor vehicle that is powered by an electric motor drawing current from rechargeable storage batteries, fuel cells, or other portable sources of electrical current, and which may include a nonelectrical source of power designed to charge batteries and components thereof. This exception does not apply to autoettes or electric personal assistive mobility devices, golf carts, and low-speed vehicles, as those vehicles are defined in division 1 of the California Vehicle Code in effect as of the effective date of this section;</w:t>
      </w:r>
    </w:p>
    <w:p>
      <w:pPr>
        <w:spacing w:before="0" w:after="0" w:line="408" w:lineRule="exact"/>
        <w:ind w:left="0" w:right="0" w:firstLine="576"/>
        <w:jc w:val="left"/>
      </w:pPr>
      <w:r>
        <w:rPr>
          <w:u w:val="single"/>
        </w:rPr>
        <w:t xml:space="preserve">(ii) That are classified as class II or class III devices for human use under the federal food, drug, and cosmetic act as of the effective date of this section and require United States food and drug administration listing and approval as a medical device;</w:t>
      </w:r>
    </w:p>
    <w:p>
      <w:pPr>
        <w:spacing w:before="0" w:after="0" w:line="408" w:lineRule="exact"/>
        <w:ind w:left="0" w:right="0" w:firstLine="576"/>
        <w:jc w:val="left"/>
      </w:pPr>
      <w:r>
        <w:rPr>
          <w:u w:val="single"/>
        </w:rPr>
        <w:t xml:space="preserve">(iii) Used to charge a battery or batteries in an illuminated exit sign;</w:t>
      </w:r>
    </w:p>
    <w:p>
      <w:pPr>
        <w:spacing w:before="0" w:after="0" w:line="408" w:lineRule="exact"/>
        <w:ind w:left="0" w:right="0" w:firstLine="576"/>
        <w:jc w:val="left"/>
      </w:pPr>
      <w:r>
        <w:rPr>
          <w:u w:val="single"/>
        </w:rPr>
        <w:t xml:space="preserve">(iv) With input that is three phase of line-to-line three hundred volts root mean square or more and is designed for a stationary power application;</w:t>
      </w:r>
    </w:p>
    <w:p>
      <w:pPr>
        <w:spacing w:before="0" w:after="0" w:line="408" w:lineRule="exact"/>
        <w:ind w:left="0" w:right="0" w:firstLine="576"/>
        <w:jc w:val="left"/>
      </w:pPr>
      <w:r>
        <w:rPr>
          <w:u w:val="single"/>
        </w:rPr>
        <w:t xml:space="preserve">(v) That are battery analyzers; or</w:t>
      </w:r>
    </w:p>
    <w:p>
      <w:pPr>
        <w:spacing w:before="0" w:after="0" w:line="408" w:lineRule="exact"/>
        <w:ind w:left="0" w:right="0" w:firstLine="576"/>
        <w:jc w:val="left"/>
      </w:pPr>
      <w:r>
        <w:rPr>
          <w:u w:val="single"/>
        </w:rPr>
        <w:t xml:space="preserve">(vi) That are voltage independent or voltage and frequency independent uninterruptible power supplies as defined by the international electrotechnical commission 62040-3 ed.2.0 as of the effective date of this section;</w:t>
      </w:r>
    </w:p>
    <w:p>
      <w:pPr>
        <w:spacing w:before="0" w:after="0" w:line="408" w:lineRule="exact"/>
        <w:ind w:left="0" w:right="0" w:firstLine="576"/>
        <w:jc w:val="left"/>
      </w:pPr>
      <w:r>
        <w:rPr>
          <w:u w:val="single"/>
        </w:rPr>
        <w:t xml:space="preserve">(l) Small diameter directional lamps;</w:t>
      </w:r>
    </w:p>
    <w:p>
      <w:pPr>
        <w:spacing w:before="0" w:after="0" w:line="408" w:lineRule="exact"/>
        <w:ind w:left="0" w:right="0" w:firstLine="576"/>
        <w:jc w:val="left"/>
      </w:pPr>
      <w:r>
        <w:rPr>
          <w:u w:val="single"/>
        </w:rPr>
        <w:t xml:space="preserve">(m) State-regulated LED lamps;</w:t>
      </w:r>
    </w:p>
    <w:p>
      <w:pPr>
        <w:spacing w:before="0" w:after="0" w:line="408" w:lineRule="exact"/>
        <w:ind w:left="0" w:right="0" w:firstLine="576"/>
        <w:jc w:val="left"/>
      </w:pPr>
      <w:r>
        <w:rPr>
          <w:u w:val="single"/>
        </w:rPr>
        <w:t xml:space="preserve">(n) HVAC air filters;</w:t>
      </w:r>
    </w:p>
    <w:p>
      <w:pPr>
        <w:spacing w:before="0" w:after="0" w:line="408" w:lineRule="exact"/>
        <w:ind w:left="0" w:right="0" w:firstLine="576"/>
        <w:jc w:val="left"/>
      </w:pPr>
      <w:r>
        <w:rPr>
          <w:u w:val="single"/>
        </w:rPr>
        <w:t xml:space="preserve">(o) Deep-dimming fluorescent ballasts; and</w:t>
      </w:r>
    </w:p>
    <w:p>
      <w:pPr>
        <w:spacing w:before="0" w:after="0" w:line="408" w:lineRule="exact"/>
        <w:ind w:left="0" w:right="0" w:firstLine="576"/>
        <w:jc w:val="left"/>
      </w:pPr>
      <w:r>
        <w:rPr>
          <w:u w:val="single"/>
        </w:rPr>
        <w:t xml:space="preserve">(p) Heat-pump water-chilling packages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Harvest rate</w:t>
            </w:r>
          </w:p>
          <w:p>
            <w:pPr>
              <w:spacing w:before="0" w:after="0" w:line="408" w:lineRule="exact"/>
              <w:ind w:left="0" w:right="0" w:firstLine="0"/>
              <w:jc w:val="left"/>
            </w:pPr>
            <w:r>
              <w:rPr>
                <w:rFonts w:ascii="Times New Roman" w:hAnsi="Times New Roman"/>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w:t>
            </w:r>
          </w:p>
          <w:p>
            <w:pPr>
              <w:spacing w:before="0" w:after="0" w:line="408" w:lineRule="exact"/>
              <w:ind w:left="0" w:right="0" w:firstLine="0"/>
              <w:jc w:val="left"/>
            </w:pPr>
            <w:r>
              <w:rPr>
                <w:rFonts w:ascii="Times New Roman" w:hAnsi="Times New Roman"/>
                <w:sz w:val="20"/>
              </w:rPr>
              <w:t xml:space="preserve">energy use</w:t>
            </w:r>
          </w:p>
          <w:p>
            <w:pPr>
              <w:spacing w:before="0" w:after="0" w:line="408" w:lineRule="exact"/>
              <w:ind w:left="0" w:right="0" w:firstLine="0"/>
              <w:jc w:val="left"/>
            </w:pPr>
            <w:r>
              <w:rPr>
                <w:rFonts w:ascii="Times New Roman" w:hAnsi="Times New Roman"/>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 condenser</w:t>
            </w:r>
          </w:p>
          <w:p>
            <w:pPr>
              <w:spacing w:before="0" w:after="0" w:line="408" w:lineRule="exact"/>
              <w:ind w:left="0" w:right="0" w:firstLine="0"/>
              <w:jc w:val="left"/>
            </w:pPr>
            <w:r>
              <w:rPr>
                <w:rFonts w:ascii="Times New Roman" w:hAnsi="Times New Roman"/>
                <w:sz w:val="20"/>
              </w:rPr>
              <w:t xml:space="preserve">water use</w:t>
            </w:r>
          </w:p>
          <w:p>
            <w:pPr>
              <w:spacing w:before="0" w:after="0" w:line="408" w:lineRule="exact"/>
              <w:ind w:left="0" w:right="0" w:firstLine="0"/>
              <w:jc w:val="left"/>
            </w:pPr>
            <w:r>
              <w:rPr>
                <w:rFonts w:ascii="Times New Roman" w:hAnsi="Times New Roman"/>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z w:val="20"/>
              </w:rPr>
              <w:t xml:space="preserve">Reach-in cabinets that are refrigerator-freezers</w:t>
            </w:r>
          </w:p>
          <w:p>
            <w:pPr>
              <w:spacing w:before="0" w:after="120" w:line="408" w:lineRule="exact"/>
              <w:ind w:left="0" w:right="0" w:firstLine="0"/>
              <w:jc w:val="left"/>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z w:val="20"/>
              </w:rPr>
              <w:t xml:space="preserve">kWh= kilowatt-hours</w:t>
            </w:r>
          </w:p>
          <w:p>
            <w:pPr>
              <w:spacing w:before="0" w:after="0" w:line="408" w:lineRule="exact"/>
              <w:ind w:left="0" w:right="0" w:firstLine="0"/>
              <w:jc w:val="left"/>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spacing w:before="0" w:after="0" w:line="408" w:lineRule="exact"/>
              <w:ind w:left="0" w:right="0" w:firstLine="0"/>
              <w:jc w:val="left"/>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spacing w:before="120" w:after="0" w:line="408" w:lineRule="exact"/>
        <w:ind w:left="0" w:right="0" w:firstLine="576"/>
        <w:jc w:val="left"/>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spacing w:before="120" w:after="0" w:line="408" w:lineRule="exact"/>
        <w:ind w:left="0" w:right="0" w:firstLine="576"/>
        <w:jc w:val="left"/>
      </w:pPr>
      <w:r>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t xml:space="preserve">(b) The following types of incandescent lamps are exempt from these requirements:</w:t>
      </w:r>
    </w:p>
    <w:p>
      <w:pPr>
        <w:spacing w:before="0" w:after="0" w:line="408" w:lineRule="exact"/>
        <w:ind w:left="0" w:right="0" w:firstLine="576"/>
        <w:jc w:val="left"/>
      </w:pPr>
      <w:r>
        <w:rPr/>
        <w:t xml:space="preserve">(i) Lamps rated at fifty watts or less of the following types: BR 30, ER 30, BR 40, and ER 40;</w:t>
      </w:r>
    </w:p>
    <w:p>
      <w:pPr>
        <w:spacing w:before="0" w:after="0" w:line="408" w:lineRule="exact"/>
        <w:ind w:left="0" w:right="0" w:firstLine="576"/>
        <w:jc w:val="left"/>
      </w:pPr>
      <w:r>
        <w:rPr/>
        <w:t xml:space="preserve">(ii) Lamps rated at sixty-five watts of the following types: BR 30, BR 40, and ER 40; and</w:t>
      </w:r>
    </w:p>
    <w:p>
      <w:pPr>
        <w:spacing w:before="0" w:after="0" w:line="408" w:lineRule="exact"/>
        <w:ind w:left="0" w:right="0" w:firstLine="576"/>
        <w:jc w:val="left"/>
      </w:pPr>
      <w:r>
        <w:rPr/>
        <w:t xml:space="preserve">(iii) R 20 lamps of forty-five watts or less.</w:t>
      </w:r>
    </w:p>
    <w:p>
      <w:pPr>
        <w:spacing w:before="0" w:after="0" w:line="408" w:lineRule="exact"/>
        <w:ind w:left="0" w:right="0" w:firstLine="576"/>
        <w:jc w:val="left"/>
      </w:pPr>
      <w:r>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rPr/>
        <w:t xml:space="preserve">(6)(a)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(7) The following standards are established for pool heaters, residential pool pumps, and portable electric spas:</w:t>
      </w:r>
    </w:p>
    <w:p>
      <w:pPr>
        <w:spacing w:before="0" w:after="0" w:line="408" w:lineRule="exact"/>
        <w:ind w:left="0" w:right="0" w:firstLine="576"/>
        <w:jc w:val="left"/>
      </w:pPr>
      <w:r>
        <w:rPr/>
        <w:t xml:space="preserve">(a) Natural gas pool heaters shall not be equipped with constant burning pilots.</w:t>
      </w:r>
    </w:p>
    <w:p>
      <w:pPr>
        <w:spacing w:before="0" w:after="0" w:line="408" w:lineRule="exact"/>
        <w:ind w:left="0" w:right="0" w:firstLine="576"/>
        <w:jc w:val="left"/>
      </w:pPr>
      <w:r>
        <w:rPr/>
        <w:t xml:space="preserve">(b)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(c) Portable electric spas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(d) Portable electric spas must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federal standard for showerheads established pursuant to 42 U.S.C. Sec. 6291 et seq. and the standard for tub spout diverters specified in this section.</w:t>
      </w:r>
    </w:p>
    <w:p>
      <w:pPr>
        <w:spacing w:before="0" w:after="0" w:line="408" w:lineRule="exact"/>
        <w:ind w:left="0" w:right="0" w:firstLine="576"/>
        <w:jc w:val="left"/>
      </w:pPr>
      <w:r>
        <w:rPr/>
        <w:t xml:space="preserve">(9)(a)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F2140-01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(10) The following standards are established for battery charger systems:</w:t>
      </w:r>
    </w:p>
    <w:p>
      <w:pPr>
        <w:spacing w:before="0" w:after="0" w:line="408" w:lineRule="exact"/>
        <w:ind w:left="0" w:right="0" w:firstLine="576"/>
        <w:jc w:val="left"/>
      </w:pPr>
      <w:r>
        <w:rPr>
          <w:u w:val="single"/>
        </w:rPr>
        <w:t xml:space="preserve">(a) Large battery charger systems and small battery charger systems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(b) Battery backup and uninterruptible power supplies that are not consumer products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(c) Large battery charger systems and small battery charger systems must be tested in accordance with the method specified in the California Code of Regulations, Title 20, section 1604 in effect as of the effective date of this section.</w:t>
      </w:r>
    </w:p>
    <w:p>
      <w:pPr>
        <w:spacing w:before="0" w:after="0" w:line="408" w:lineRule="exact"/>
        <w:ind w:left="0" w:right="0" w:firstLine="576"/>
        <w:jc w:val="left"/>
      </w:pPr>
      <w:r>
        <w:rPr>
          <w:u w:val="single"/>
        </w:rPr>
        <w:t xml:space="preserve">(11) A high light output double-ended quartz halogen lamp must meet minimum efficiency standards of:</w:t>
      </w:r>
    </w:p>
    <w:p>
      <w:pPr>
        <w:spacing w:before="0" w:after="0" w:line="408" w:lineRule="exact"/>
        <w:ind w:left="0" w:right="0" w:firstLine="576"/>
        <w:jc w:val="left"/>
      </w:pPr>
      <w:r>
        <w:rPr>
          <w:u w:val="single"/>
        </w:rPr>
        <w:t xml:space="preserve">(a) 27 lumens per watt for lamps with a minimum rated initial lumen value greater than 6,000 and a maximum initial lumen value of 15,000; and</w:t>
      </w:r>
    </w:p>
    <w:p>
      <w:pPr>
        <w:spacing w:before="0" w:after="0" w:line="408" w:lineRule="exact"/>
        <w:ind w:left="0" w:right="0" w:firstLine="576"/>
        <w:jc w:val="left"/>
      </w:pPr>
      <w:r>
        <w:rPr>
          <w:u w:val="single"/>
        </w:rPr>
        <w:t xml:space="preserve">(b) 34 lumens per watt for lamps with a rated initial lumen value greater than 15,000 and less than 40,000.</w:t>
      </w:r>
    </w:p>
    <w:p>
      <w:pPr>
        <w:spacing w:before="0" w:after="0" w:line="408" w:lineRule="exact"/>
        <w:ind w:left="0" w:right="0" w:firstLine="576"/>
        <w:jc w:val="left"/>
      </w:pPr>
      <w:r>
        <w:rPr>
          <w:u w:val="single"/>
        </w:rPr>
        <w:t xml:space="preserve">(12) A small diameter directional lamp must meet minimum efficiency standards of 80 lumens per watt, a power factor of 0.9, and a rated life of 25,000 hours, if manufactured on or after January 1, 2017.</w:t>
      </w:r>
    </w:p>
    <w:p>
      <w:pPr>
        <w:spacing w:before="0" w:after="0" w:line="408" w:lineRule="exact"/>
        <w:ind w:left="0" w:right="0" w:firstLine="576"/>
        <w:jc w:val="left"/>
      </w:pPr>
      <w:r>
        <w:rPr>
          <w:u w:val="single"/>
        </w:rPr>
        <w:t xml:space="preserve">(13)(a) State-regulated LED lamps must be tested in accordance with the method specified in IES LM-79-08 as published by the illuminating engineering society of North America and must meet the minimum efficiency standards as follows:</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Effective date</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Minimum lamp efficacy</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Minimum color rendering index</w:t>
            </w:r>
          </w:p>
        </w:tc>
      </w:tr>
      <w:tr>
        <w:tc>
          <w:tcPr>
            <w:tcW w:w="3386.6666"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January 1, 2017</w:t>
            </w:r>
          </w:p>
        </w:tc>
        <w:tc>
          <w:tcPr>
            <w:tcW w:w="3386.6666"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55 lumens per watt</w:t>
            </w:r>
          </w:p>
        </w:tc>
        <w:tc>
          <w:tcPr>
            <w:tcW w:w="3386.6666" w:type="dxa"/>
            <w:vAlign w:val="top"/>
            <w:tcBorders>
              <w:bottom w:val="single"/>
            </w:tcBorders>
          </w:tcPr>
          <w:p>
            <w:pPr>
              <w:spacing w:before="0" w:after="0" w:line="408" w:lineRule="exact"/>
              <w:ind w:left="0" w:right="0" w:firstLine="0"/>
              <w:jc w:val="center"/>
            </w:pPr>
            <w:r>
              <w:rPr>
                <w:rFonts w:ascii="Times New Roman" w:hAnsi="Times New Roman"/>
                <w:sz w:val="20"/>
                <w:u w:val="single"/>
              </w:rPr>
              <w:t xml:space="preserve">82</w:t>
            </w:r>
          </w:p>
        </w:tc>
      </w:tr>
      <w:tr>
        <w:tc>
          <w:tcPr>
            <w:tcW w:w="3386.6666"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January 1, 2019</w:t>
            </w:r>
          </w:p>
        </w:tc>
        <w:tc>
          <w:tcPr>
            <w:tcW w:w="3386.6666"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65 lumens per watt</w:t>
            </w:r>
          </w:p>
        </w:tc>
        <w:tc>
          <w:tcPr>
            <w:tcW w:w="3386.6666" w:type="dxa"/>
            <w:vAlign w:val="top"/>
            <w:tcBorders>
              <w:bottom w:val="single"/>
            </w:tcBorders>
          </w:tcPr>
          <w:p>
            <w:pPr>
              <w:spacing w:before="0" w:after="0" w:line="408" w:lineRule="exact"/>
              <w:ind w:left="0" w:right="0" w:firstLine="0"/>
              <w:jc w:val="center"/>
            </w:pPr>
            <w:r>
              <w:rPr>
                <w:rFonts w:ascii="Times New Roman" w:hAnsi="Times New Roman"/>
                <w:sz w:val="20"/>
                <w:u w:val="single"/>
              </w:rPr>
              <w:t xml:space="preserve">84</w:t>
            </w:r>
          </w:p>
        </w:tc>
      </w:tr>
    </w:tbl>
    <w:p>
      <w:pPr>
        <w:spacing w:before="120" w:after="0" w:line="408" w:lineRule="exact"/>
        <w:ind w:left="0" w:right="0" w:firstLine="576"/>
        <w:jc w:val="left"/>
      </w:pPr>
      <w:r>
        <w:rPr>
          <w:u w:val="single"/>
        </w:rPr>
        <w:t xml:space="preserve">(b) State-regulated LED lamps must have a correlated color temperature that falls within four MacAdam steps of the black-body curve.</w:t>
      </w:r>
    </w:p>
    <w:p>
      <w:pPr>
        <w:spacing w:before="0" w:after="0" w:line="408" w:lineRule="exact"/>
        <w:ind w:left="0" w:right="0" w:firstLine="576"/>
        <w:jc w:val="left"/>
      </w:pPr>
      <w:r>
        <w:rPr>
          <w:u w:val="single"/>
        </w:rPr>
        <w:t xml:space="preserve">(c) State-regulated LED lamps that have an ANSI standard lamp shape of A, C, CA, or G must meet the respective omnidirectional light distribution requirements of energy star's product specification for lamps version 1.1.</w:t>
      </w:r>
    </w:p>
    <w:p>
      <w:pPr>
        <w:spacing w:before="0" w:after="0" w:line="408" w:lineRule="exact"/>
        <w:ind w:left="0" w:right="0" w:firstLine="576"/>
        <w:jc w:val="left"/>
      </w:pPr>
      <w:r>
        <w:rPr>
          <w:u w:val="single"/>
        </w:rPr>
        <w:t xml:space="preserve">(14) HVAC air filters must be tested in accordance with the methods specified as follows:</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Appliance</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Appliance performance criteria</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Test method</w:t>
            </w:r>
          </w:p>
        </w:tc>
      </w:tr>
      <w:tr>
        <w:tc>
          <w:tcPr>
            <w:tcW w:w="3386.6666" w:type="dxa"/>
            <w:vAlign w:val="top"/>
          </w:tcPr>
          <w:p>
            <w:pPr>
              <w:spacing w:before="0" w:after="0" w:line="408" w:lineRule="exact"/>
              <w:ind w:left="0" w:right="0" w:firstLine="0"/>
              <w:jc w:val="left"/>
            </w:pPr>
            <w:r>
              <w:rPr>
                <w:rFonts w:ascii="Times New Roman" w:hAnsi="Times New Roman"/>
                <w:sz w:val="20"/>
                <w:u w:val="single"/>
              </w:rPr>
              <w:t xml:space="preserve">HVAC air filters</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Air filter pressure drop</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w:t>
            </w:r>
          </w:p>
        </w:tc>
      </w:tr>
      <w:tr>
        <w:tc>
          <w:tcPr>
            <w:tcW w:w="3386.6666" w:type="dxa"/>
            <w:vAlign w:val="top"/>
          </w:tcPr>
          <w:p>
            <w:pPr>
              <w:spacing w:before="0" w:after="0" w:line="408" w:lineRule="exact"/>
              <w:ind w:left="0" w:right="0" w:firstLine="0"/>
              <w:jc w:val="left"/>
            </w:pP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Air filter particle size efficiency and MERV</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 or ASHRAE 52.2-2012</w:t>
            </w:r>
          </w:p>
        </w:tc>
      </w:tr>
      <w:tr>
        <w:tc>
          <w:tcPr>
            <w:tcW w:w="3386.6666" w:type="dxa"/>
            <w:vAlign w:val="top"/>
          </w:tcPr>
          <w:p>
            <w:pPr>
              <w:spacing w:before="0" w:after="0" w:line="408" w:lineRule="exact"/>
              <w:ind w:left="0" w:right="0" w:firstLine="0"/>
              <w:jc w:val="left"/>
            </w:pP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Dust holding capacity</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 or ASHRAE 52.2-2012</w:t>
            </w:r>
          </w:p>
        </w:tc>
      </w:tr>
    </w:tbl>
    <w:p>
      <w:pPr>
        <w:spacing w:before="120" w:after="0" w:line="408" w:lineRule="exact"/>
        <w:ind w:left="0" w:right="0" w:firstLine="576"/>
        <w:jc w:val="left"/>
      </w:pPr>
      <w:r>
        <w:rPr>
          <w:u w:val="single"/>
        </w:rPr>
        <w:t xml:space="preserve">(a) "AHRI" means the air-conditioning, heating, and refrigeration institute.</w:t>
      </w:r>
    </w:p>
    <w:p>
      <w:pPr>
        <w:spacing w:before="0" w:after="0" w:line="408" w:lineRule="exact"/>
        <w:ind w:left="0" w:right="0" w:firstLine="576"/>
        <w:jc w:val="left"/>
      </w:pPr>
      <w:r>
        <w:rPr>
          <w:u w:val="single"/>
        </w:rPr>
        <w:t xml:space="preserve">(b) "ASHRAE" means the American society of heating, refrigerating and air conditioning engineers.</w:t>
      </w:r>
    </w:p>
    <w:p>
      <w:pPr>
        <w:spacing w:before="0" w:after="0" w:line="408" w:lineRule="exact"/>
        <w:ind w:left="0" w:right="0" w:firstLine="576"/>
        <w:jc w:val="left"/>
      </w:pPr>
      <w:r>
        <w:rPr>
          <w:u w:val="single"/>
        </w:rPr>
        <w:t xml:space="preserve">(c) "MERV" means minimum efficiency reporting value, or the composite particle efficiency metric defined in ASHRAE 52.2-2012.</w:t>
      </w:r>
    </w:p>
    <w:p>
      <w:pPr>
        <w:spacing w:before="0" w:after="0" w:line="408" w:lineRule="exact"/>
        <w:ind w:left="0" w:right="0" w:firstLine="576"/>
        <w:jc w:val="left"/>
      </w:pPr>
      <w:r>
        <w:rPr>
          <w:u w:val="single"/>
        </w:rPr>
        <w:t xml:space="preserve">(15)(a) Effective January 1, 2016, deep-dimming fluorescent ballasts must meet the following energy conservation standard in kilowatt-hours per year: Annual energy use ≤ 0.22 x maximum arc power + 18.</w:t>
      </w:r>
    </w:p>
    <w:p>
      <w:pPr>
        <w:spacing w:before="0" w:after="0" w:line="408" w:lineRule="exact"/>
        <w:ind w:left="0" w:right="0" w:firstLine="576"/>
        <w:jc w:val="left"/>
      </w:pPr>
      <w:r>
        <w:rPr>
          <w:u w:val="single"/>
        </w:rPr>
        <w:t xml:space="preserve">(b) Deep-dimming fluorescent ballasts must be tested using 10 C.F.R. Sec. 430.23(q) (appendix Q1 to subpart B of part 430), modified as follows:</w:t>
      </w:r>
    </w:p>
    <w:p>
      <w:pPr>
        <w:spacing w:before="0" w:after="0" w:line="408" w:lineRule="exact"/>
        <w:ind w:left="0" w:right="0" w:firstLine="576"/>
        <w:jc w:val="left"/>
      </w:pPr>
      <w:r>
        <w:rPr>
          <w:u w:val="single"/>
        </w:rPr>
        <w:t xml:space="preserve">(i) The control signal to the ballast must indicate full output. The arc power of all connected lamps must be measured and then added together. This result will be referred to as "max arc power." An appropriate lighting control must be selected to achieve the control signal used to determine the max arc power and to tune the ballast to the appropriate dimming levels. The controls must be selected by using the following methodology:</w:t>
      </w:r>
    </w:p>
    <w:p>
      <w:pPr>
        <w:spacing w:before="0" w:after="0" w:line="408" w:lineRule="exact"/>
        <w:ind w:left="0" w:right="0" w:firstLine="576"/>
        <w:jc w:val="left"/>
      </w:pPr>
      <w:r>
        <w:rPr>
          <w:u w:val="single"/>
        </w:rPr>
        <w:t xml:space="preserve">(A) If the ballast manufacturer also manufactures a lighting control designed to be operated with the ballast, the test must be conducted using the ballast manufacturer's lighting control; or</w:t>
      </w:r>
    </w:p>
    <w:p>
      <w:pPr>
        <w:spacing w:before="0" w:after="0" w:line="408" w:lineRule="exact"/>
        <w:ind w:left="0" w:right="0" w:firstLine="576"/>
        <w:jc w:val="left"/>
      </w:pPr>
      <w:r>
        <w:rPr>
          <w:u w:val="single"/>
        </w:rPr>
        <w:t xml:space="preserve">(B) If the manufacturer does not manufacture a compatible lighting control, but recommends the use of a specific manufacturer or model of lighting control, the test must be conducted using the recommended lighting controls; or</w:t>
      </w:r>
    </w:p>
    <w:p>
      <w:pPr>
        <w:spacing w:before="0" w:after="0" w:line="408" w:lineRule="exact"/>
        <w:ind w:left="0" w:right="0" w:firstLine="576"/>
        <w:jc w:val="left"/>
      </w:pPr>
      <w:r>
        <w:rPr>
          <w:u w:val="single"/>
        </w:rPr>
        <w:t xml:space="preserve">(C) If the manufacturer does not manufacture a compatible lighting control, and does not recommend a specific lighting control, the lab technician shall select a lighting control that sufficiently controls the ballast to complete the test; or</w:t>
      </w:r>
    </w:p>
    <w:p>
      <w:pPr>
        <w:spacing w:before="0" w:after="0" w:line="408" w:lineRule="exact"/>
        <w:ind w:left="0" w:right="0" w:firstLine="576"/>
        <w:jc w:val="left"/>
      </w:pPr>
      <w:r>
        <w:rPr>
          <w:u w:val="single"/>
        </w:rPr>
        <w:t xml:space="preserve">(D) If multiple control options are available, use the lighting control that is capable of using all of the features of a ballast and with the minimum amount of other features. The lighting control manufacturer and model number must appear on the test report.</w:t>
      </w:r>
    </w:p>
    <w:p>
      <w:pPr>
        <w:spacing w:before="0" w:after="0" w:line="408" w:lineRule="exact"/>
        <w:ind w:left="0" w:right="0" w:firstLine="576"/>
        <w:jc w:val="left"/>
      </w:pPr>
      <w:r>
        <w:rPr>
          <w:u w:val="single"/>
        </w:rPr>
        <w:t xml:space="preserve">(ii) Three sets of input power and arc power must be measured using the federal test procedure with the total arc power tuned to 100, 80, and 50 percent of the measured max arc power. If a step dimming ballast or a ballast that can only turn connected lamps on or off has dimming steps other than 80 and 50 percent, then the closest step that is between 90 and including 65 percent must be used for 80 percent testing, and the closest step that is between 65 and including 35 must be used for 50 percent testing. If no step exists in the ranges prescribed in this subsection (15)(b)(ii), then no result may be recorded for that percentage dimming test. The resulting input powers must be recorded and referred to as P</w:t>
      </w:r>
      <w:r>
        <w:rPr>
          <w:u w:val="single"/>
          <w:vertAlign w:val="subscript"/>
        </w:rPr>
        <w:t xml:space="preserve">100</w:t>
      </w:r>
      <w:r>
        <w:rPr>
          <w:u w:val="single"/>
        </w:rPr>
        <w:t xml:space="preserve">, P</w:t>
      </w:r>
      <w:r>
        <w:rPr>
          <w:u w:val="single"/>
          <w:vertAlign w:val="subscript"/>
        </w:rPr>
        <w:t xml:space="preserve">80</w:t>
      </w:r>
      <w:r>
        <w:rPr>
          <w:u w:val="single"/>
        </w:rPr>
        <w:t xml:space="preserve">, and P</w:t>
      </w:r>
      <w:r>
        <w:rPr>
          <w:u w:val="single"/>
          <w:vertAlign w:val="subscript"/>
        </w:rPr>
        <w:t xml:space="preserve">50</w:t>
      </w:r>
      <w:r>
        <w:rPr>
          <w:u w:val="single"/>
        </w:rPr>
        <w:t xml:space="preserve">.</w:t>
      </w:r>
    </w:p>
    <w:p>
      <w:pPr>
        <w:spacing w:before="0" w:after="0" w:line="408" w:lineRule="exact"/>
        <w:ind w:left="0" w:right="0" w:firstLine="576"/>
        <w:jc w:val="left"/>
      </w:pPr>
      <w:r>
        <w:rPr>
          <w:u w:val="single"/>
        </w:rPr>
        <w:t xml:space="preserve">(iii) The ballast must also be tested with a control input set to the lowest dimming state possible up to and including no light output. The input power to the ballast must be measured and recorded as P</w:t>
      </w:r>
      <w:r>
        <w:rPr>
          <w:u w:val="single"/>
          <w:vertAlign w:val="subscript"/>
        </w:rPr>
        <w:t xml:space="preserve">0</w:t>
      </w:r>
      <w:r>
        <w:rPr>
          <w:u w:val="single"/>
        </w:rPr>
        <w:t xml:space="preserve">. The measurement must be taken 90 minutes after entering the lowest dimming state possible. P</w:t>
      </w:r>
      <w:r>
        <w:rPr>
          <w:u w:val="single"/>
          <w:vertAlign w:val="subscript"/>
        </w:rPr>
        <w:t xml:space="preserve">0</w:t>
      </w:r>
      <w:r>
        <w:rPr>
          <w:u w:val="single"/>
        </w:rPr>
        <w:t xml:space="preserve"> must be recorded as the mean value of measurements taken at 5 second intervals over a 5-minute period.</w:t>
      </w:r>
    </w:p>
    <w:p>
      <w:pPr>
        <w:spacing w:before="0" w:after="0" w:line="408" w:lineRule="exact"/>
        <w:ind w:left="0" w:right="0" w:firstLine="576"/>
        <w:jc w:val="left"/>
      </w:pPr>
      <w:r>
        <w:rPr>
          <w:u w:val="single"/>
        </w:rPr>
        <w:t xml:space="preserve">(iv) The annual energy use must be calculated, with the results in kWh/year, using the following formula:</w:t>
      </w:r>
    </w:p>
    <w:p>
      <w:pPr>
        <w:spacing w:before="0" w:after="0" w:line="408" w:lineRule="exact"/>
        <w:ind w:left="0" w:right="0" w:firstLine="576"/>
        <w:jc w:val="left"/>
      </w:pPr>
      <w:r>
        <w:rPr>
          <w:u w:val="single"/>
        </w:rPr>
        <w:t xml:space="preserve">Annual energy use = (P</w:t>
      </w:r>
      <w:r>
        <w:rPr>
          <w:u w:val="single"/>
          <w:vertAlign w:val="subscript"/>
        </w:rPr>
        <w:t xml:space="preserve">100</w:t>
      </w:r>
      <w:r>
        <w:rPr>
          <w:u w:val="single"/>
        </w:rPr>
        <w:t xml:space="preserve"> x t</w:t>
      </w:r>
      <w:r>
        <w:rPr>
          <w:u w:val="single"/>
          <w:vertAlign w:val="subscript"/>
        </w:rPr>
        <w:t xml:space="preserve">100</w:t>
      </w:r>
      <w:r>
        <w:rPr>
          <w:u w:val="single"/>
        </w:rPr>
        <w:t xml:space="preserve"> + P</w:t>
      </w:r>
      <w:r>
        <w:rPr>
          <w:u w:val="single"/>
          <w:vertAlign w:val="subscript"/>
        </w:rPr>
        <w:t xml:space="preserve">80</w:t>
      </w:r>
      <w:r>
        <w:rPr>
          <w:u w:val="single"/>
        </w:rPr>
        <w:t xml:space="preserve"> x t</w:t>
      </w:r>
      <w:r>
        <w:rPr>
          <w:u w:val="single"/>
          <w:vertAlign w:val="subscript"/>
        </w:rPr>
        <w:t xml:space="preserve">80</w:t>
      </w:r>
      <w:r>
        <w:rPr>
          <w:u w:val="single"/>
        </w:rPr>
        <w:t xml:space="preserve"> + P</w:t>
      </w:r>
      <w:r>
        <w:rPr>
          <w:u w:val="single"/>
          <w:vertAlign w:val="subscript"/>
        </w:rPr>
        <w:t xml:space="preserve">50</w:t>
      </w:r>
      <w:r>
        <w:rPr>
          <w:u w:val="single"/>
        </w:rPr>
        <w:t xml:space="preserve"> x t</w:t>
      </w:r>
      <w:r>
        <w:rPr>
          <w:u w:val="single"/>
          <w:vertAlign w:val="subscript"/>
        </w:rPr>
        <w:t xml:space="preserve">50</w:t>
      </w:r>
      <w:r>
        <w:rPr>
          <w:u w:val="single"/>
        </w:rPr>
        <w:t xml:space="preserve"> + P</w:t>
      </w:r>
      <w:r>
        <w:rPr>
          <w:u w:val="single"/>
          <w:vertAlign w:val="subscript"/>
        </w:rPr>
        <w:t xml:space="preserve">0</w:t>
      </w:r>
      <w:r>
        <w:rPr>
          <w:u w:val="single"/>
        </w:rPr>
        <w:t xml:space="preserve"> x t</w:t>
      </w:r>
      <w:r>
        <w:rPr>
          <w:u w:val="single"/>
          <w:vertAlign w:val="subscript"/>
        </w:rPr>
        <w:t xml:space="preserve">0</w:t>
      </w:r>
      <w:r>
        <w:rPr>
          <w:u w:val="single"/>
        </w:rPr>
        <w:t xml:space="preserve">)/1000</w:t>
      </w:r>
    </w:p>
    <w:p>
      <w:pPr>
        <w:spacing w:before="0" w:after="0" w:line="408" w:lineRule="exact"/>
        <w:ind w:left="0" w:right="0" w:firstLine="576"/>
        <w:jc w:val="left"/>
      </w:pPr>
      <w:r>
        <w:rPr>
          <w:u w:val="single"/>
        </w:rPr>
        <w:t xml:space="preserve">Where power is in watts and time values (t</w:t>
      </w:r>
      <w:r>
        <w:rPr>
          <w:u w:val="single"/>
          <w:vertAlign w:val="subscript"/>
        </w:rPr>
        <w:t xml:space="preserve">i</w:t>
      </w:r>
      <w:r>
        <w:rPr>
          <w:u w:val="single"/>
        </w:rPr>
        <w:t xml:space="preserve">) are taken from the appropriate tables below:</w:t>
      </w:r>
    </w:p>
    <w:tbl>
      <w:tblPr>
        <w:tblW w:w="0" w:type="auto"/>
        <w:jc w:val="center"/>
        <w:tcMar>
          <w:tblCellMar>
            <w:top w:w="0" w:type="dxa"/>
          </w:tblCellMar>
        </w:tcMar>
        <w:tcMar>
          <w:tblCellMar>
            <w:left w:w="70" w:type="dxa"/>
            <w:right w:w="70" w:type="dxa"/>
          </w:tblCellMar>
        </w:tcMar>
      </w:tblPr>
      <w:tblGrid>
        <w:gridCol w:w="2032"/>
        <w:gridCol w:w="2032"/>
        <w:gridCol w:w="2032"/>
        <w:gridCol w:w="2032"/>
        <w:gridCol w:w="2032"/>
      </w:tblGrid>
      <w:tr>
        <w:tc>
          <w:tcPr>
            <w:tcW w:w="2032" w:type="dxa"/>
            <w:vAlign w:val="top"/>
          </w:tcPr>
          <w:p>
            <w:pPr>
              <w:spacing w:before="0" w:after="0" w:line="408" w:lineRule="exact"/>
              <w:ind w:left="0" w:right="0" w:firstLine="0"/>
              <w:jc w:val="left"/>
            </w:pPr>
            <w:r>
              <w:rPr>
                <w:rFonts w:ascii="Times New Roman" w:hAnsi="Times New Roman"/>
                <w:sz w:val="20"/>
                <w:u w:val="single"/>
              </w:rPr>
              <w:t xml:space="preserve">Time variable</w:t>
            </w:r>
          </w:p>
        </w:tc>
        <w:tc>
          <w:tcPr>
            <w:gridSpan w:val="4"/>
            <w:tcW w:w="8128"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Measurements taken</w:t>
            </w:r>
          </w:p>
        </w:tc>
      </w:tr>
      <w:tr>
        <w:tc>
          <w:tcPr>
            <w:tcW w:w="2032" w:type="dxa"/>
            <w:vAlign w:val="top"/>
          </w:tcPr>
          <w:p>
            <w:pPr>
              <w:spacing w:before="0" w:after="0" w:line="408" w:lineRule="exact"/>
              <w:ind w:left="0" w:right="0" w:firstLine="0"/>
              <w:jc w:val="left"/>
            </w:pP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P</w:t>
            </w:r>
            <w:r>
              <w:rPr>
                <w:rFonts w:ascii="Times New Roman" w:hAnsi="Times New Roman"/>
                <w:sz w:val="20"/>
                <w:u w:val="single"/>
                <w:vertAlign w:val="subscript"/>
              </w:rPr>
              <w:t xml:space="preserve">80</w:t>
            </w:r>
            <w:r>
              <w:rPr>
                <w:rFonts w:ascii="Times New Roman" w:hAnsi="Times New Roman"/>
                <w:sz w:val="20"/>
                <w:u w:val="single"/>
              </w:rPr>
              <w:t xml:space="preserve">, P</w:t>
            </w:r>
            <w:r>
              <w:rPr>
                <w:rFonts w:ascii="Times New Roman" w:hAnsi="Times New Roman"/>
                <w:sz w:val="20"/>
                <w:u w:val="single"/>
                <w:vertAlign w:val="subscript"/>
              </w:rPr>
              <w:t xml:space="preserve">50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P</w:t>
            </w:r>
            <w:r>
              <w:rPr>
                <w:rFonts w:ascii="Times New Roman" w:hAnsi="Times New Roman"/>
                <w:sz w:val="20"/>
                <w:u w:val="single"/>
                <w:vertAlign w:val="subscript"/>
              </w:rPr>
              <w:t xml:space="preserve">80</w:t>
            </w:r>
            <w:r>
              <w:rPr>
                <w:rFonts w:ascii="Times New Roman" w:hAnsi="Times New Roman"/>
                <w:sz w:val="20"/>
                <w:u w:val="single"/>
              </w:rPr>
              <w:t xml:space="preserve">, No P</w:t>
            </w:r>
            <w:r>
              <w:rPr>
                <w:rFonts w:ascii="Times New Roman" w:hAnsi="Times New Roman"/>
                <w:sz w:val="20"/>
                <w:u w:val="single"/>
                <w:vertAlign w:val="subscript"/>
              </w:rPr>
              <w:t xml:space="preserve">50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No P</w:t>
            </w:r>
            <w:r>
              <w:rPr>
                <w:rFonts w:ascii="Times New Roman" w:hAnsi="Times New Roman"/>
                <w:sz w:val="20"/>
                <w:u w:val="single"/>
                <w:vertAlign w:val="subscript"/>
              </w:rPr>
              <w:t xml:space="preserve">80</w:t>
            </w:r>
            <w:r>
              <w:rPr>
                <w:rFonts w:ascii="Times New Roman" w:hAnsi="Times New Roman"/>
                <w:sz w:val="20"/>
                <w:u w:val="single"/>
              </w:rPr>
              <w:t xml:space="preserve">, P</w:t>
            </w:r>
            <w:r>
              <w:rPr>
                <w:rFonts w:ascii="Times New Roman" w:hAnsi="Times New Roman"/>
                <w:sz w:val="20"/>
                <w:u w:val="single"/>
                <w:vertAlign w:val="subscript"/>
              </w:rPr>
              <w:t xml:space="preserve">50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No P</w:t>
            </w:r>
            <w:r>
              <w:rPr>
                <w:rFonts w:ascii="Times New Roman" w:hAnsi="Times New Roman"/>
                <w:sz w:val="20"/>
                <w:u w:val="single"/>
                <w:vertAlign w:val="subscript"/>
              </w:rPr>
              <w:t xml:space="preserve">80</w:t>
            </w:r>
            <w:r>
              <w:rPr>
                <w:rFonts w:ascii="Times New Roman" w:hAnsi="Times New Roman"/>
                <w:sz w:val="20"/>
                <w:u w:val="single"/>
              </w:rPr>
              <w:t xml:space="preserve">, No P</w:t>
            </w:r>
            <w:r>
              <w:rPr>
                <w:rFonts w:ascii="Times New Roman" w:hAnsi="Times New Roman"/>
                <w:sz w:val="20"/>
                <w:u w:val="single"/>
                <w:vertAlign w:val="subscript"/>
              </w:rPr>
              <w:t xml:space="preserve">50</w:t>
            </w:r>
          </w:p>
        </w:tc>
      </w:tr>
      <w:tr>
        <w:tc>
          <w:tcPr>
            <w:tcW w:w="2032" w:type="dxa"/>
            <w:vAlign w:val="top"/>
            <w:tcBorders>
              <w:top w:val="single"/>
            </w:tcBorders>
          </w:tcPr>
          <w:p>
            <w:pPr>
              <w:spacing w:before="0" w:after="0" w:line="408" w:lineRule="exact"/>
              <w:ind w:left="0" w:right="0" w:firstLine="0"/>
              <w:jc w:val="left"/>
            </w:pPr>
            <w:r>
              <w:rPr>
                <w:rFonts w:ascii="Times New Roman" w:hAnsi="Times New Roman"/>
                <w:sz w:val="20"/>
                <w:u w:val="single"/>
              </w:rPr>
              <w:t xml:space="preserve">t</w:t>
            </w:r>
            <w:r>
              <w:rPr>
                <w:rFonts w:ascii="Times New Roman" w:hAnsi="Times New Roman"/>
                <w:sz w:val="20"/>
                <w:u w:val="single"/>
                <w:vertAlign w:val="subscript"/>
              </w:rPr>
              <w:t xml:space="preserve">100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637</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876</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1592</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2388</w:t>
            </w:r>
          </w:p>
        </w:tc>
      </w:tr>
      <w:tr>
        <w:tc>
          <w:tcPr>
            <w:tcW w:w="2032" w:type="dxa"/>
            <w:vAlign w:val="top"/>
            <w:tcBorders>
              <w:top w:val="single"/>
            </w:tcBorders>
          </w:tcPr>
          <w:p>
            <w:pPr>
              <w:spacing w:before="0" w:after="0" w:line="408" w:lineRule="exact"/>
              <w:ind w:left="0" w:right="0" w:firstLine="0"/>
              <w:jc w:val="left"/>
            </w:pPr>
            <w:r>
              <w:rPr>
                <w:rFonts w:ascii="Times New Roman" w:hAnsi="Times New Roman"/>
                <w:sz w:val="20"/>
                <w:u w:val="single"/>
              </w:rPr>
              <w:t xml:space="preserve">t</w:t>
            </w:r>
            <w:r>
              <w:rPr>
                <w:rFonts w:ascii="Times New Roman" w:hAnsi="Times New Roman"/>
                <w:sz w:val="20"/>
                <w:u w:val="single"/>
                <w:vertAlign w:val="subscript"/>
              </w:rPr>
              <w:t xml:space="preserve">80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1592</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1890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0</w:t>
            </w:r>
          </w:p>
        </w:tc>
      </w:tr>
      <w:tr>
        <w:tc>
          <w:tcPr>
            <w:tcW w:w="2032" w:type="dxa"/>
            <w:vAlign w:val="top"/>
            <w:tcBorders>
              <w:top w:val="single"/>
            </w:tcBorders>
          </w:tcPr>
          <w:p>
            <w:pPr>
              <w:spacing w:before="0" w:after="0" w:line="408" w:lineRule="exact"/>
              <w:ind w:left="0" w:right="0" w:firstLine="0"/>
              <w:jc w:val="left"/>
            </w:pPr>
            <w:r>
              <w:rPr>
                <w:rFonts w:ascii="Times New Roman" w:hAnsi="Times New Roman"/>
                <w:sz w:val="20"/>
                <w:u w:val="single"/>
              </w:rPr>
              <w:t xml:space="preserve">t</w:t>
            </w:r>
            <w:r>
              <w:rPr>
                <w:rFonts w:ascii="Times New Roman" w:hAnsi="Times New Roman"/>
                <w:sz w:val="20"/>
                <w:u w:val="single"/>
                <w:vertAlign w:val="subscript"/>
              </w:rPr>
              <w:t xml:space="preserve">50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955</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1592</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0</w:t>
            </w:r>
          </w:p>
        </w:tc>
      </w:tr>
      <w:tr>
        <w:tc>
          <w:tcPr>
            <w:tcW w:w="2032"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u w:val="single"/>
              </w:rPr>
              <w:t xml:space="preserve">t</w:t>
            </w:r>
            <w:r>
              <w:rPr>
                <w:rFonts w:ascii="Times New Roman" w:hAnsi="Times New Roman"/>
                <w:sz w:val="20"/>
                <w:u w:val="single"/>
                <w:vertAlign w:val="subscript"/>
              </w:rPr>
              <w:t xml:space="preserve">0</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5576</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5576</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5576</w:t>
            </w:r>
          </w:p>
        </w:tc>
        <w:tc>
          <w:tcPr>
            <w:tcW w:w="2032"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5576</w:t>
            </w:r>
          </w:p>
        </w:tc>
      </w:tr>
    </w:tbl>
    <w:p>
      <w:pPr>
        <w:spacing w:before="120" w:after="0" w:line="408" w:lineRule="exact"/>
        <w:ind w:left="0" w:right="0" w:firstLine="576"/>
        <w:jc w:val="left"/>
      </w:pPr>
      <w:r>
        <w:rPr>
          <w:u w:val="single"/>
        </w:rPr>
        <w:t xml:space="preserve">(16) Heat-pump water-chilling packages must be tested using ANSI/AHRI 550-590 (I-P) 2011. The heating capacity tests must be conducted at ambient temperatures of each 47 and 17 degrees Fahrenheit and a leaving water temperature of 120 degrees Fahrenheit. If the package is capable of cooling, it must be tested at an ambient temperature of 95 degrees Fahrenheit and a leaving water temperature of 44 degrees Fahrenheit.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t xml:space="preserve">(4)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t xml:space="preserve">(5)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(6)(a) Large and small battery charger systems,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(b) Battery backup and uninterruptible power supplies that are not consumer products,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(7) Large and small battery charger systems, if manufactured on or after January 1, 2017, may not be installed for compensation in the state on or after January 1, 2018, unless the efficiency of the new product meets or exceeds the efficiency standards set forth in RCW 19.260.040.</w:t>
      </w:r>
    </w:p>
    <w:p>
      <w:pPr>
        <w:spacing w:before="0" w:after="0" w:line="408" w:lineRule="exact"/>
        <w:ind w:left="0" w:right="0" w:firstLine="576"/>
        <w:jc w:val="left"/>
      </w:pPr>
      <w:r>
        <w:rPr>
          <w:u w:val="single"/>
        </w:rPr>
        <w:t xml:space="preserve">(8) A high light output double-ended quartz halogen lamp,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(9) A high light output double-ended quartz halogen lamp, if manufactured on or after January 1, 2017, may not be installed for compensation in the state on or after January 1, 2018, unless the efficiency of the new product meets or exceeds the efficiency standards set forth in RCW 19.260.040.</w:t>
      </w:r>
    </w:p>
    <w:p/>
    <w:p>
      <w:pPr>
        <w:jc w:val="center"/>
      </w:pPr>
      <w:r>
        <w:rPr>
          <w:b/>
        </w:rPr>
        <w:t>--- END ---</w:t>
      </w:r>
    </w:p>
    <w:sectPr>
      <w:pgNumType w:start="1"/>
      <w:footerReference xmlns:r="http://schemas.openxmlformats.org/officeDocument/2006/relationships" r:id="R26ae01e74dfc4c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5dabb5cd334151" /><Relationship Type="http://schemas.openxmlformats.org/officeDocument/2006/relationships/footer" Target="/word/footer.xml" Id="R26ae01e74dfc4c80" /></Relationships>
</file>