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fc7abdb6c24a9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1087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and Gregerson</w:t>
      </w:r>
    </w:p>
    <w:p/>
    <w:p>
      <w:r>
        <w:rPr>
          <w:t xml:space="preserve">Prefiled 01/08/15.</w:t>
        </w:rPr>
      </w:r>
      <w:r>
        <w:rPr>
          <w:t xml:space="preserve">Read first time 01/12/15.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automated traffic safety cameras in school speed zones; amending RCW 46.63.170;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2013 c 306 s 711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spacing w:before="0" w:after="0" w:line="408" w:lineRule="exact"/>
        <w:ind w:left="0" w:right="0" w:firstLine="576"/>
        <w:jc w:val="left"/>
      </w:pPr>
      <w:r>
        <w:rPr/>
        <w:t xml:space="preserve">(b) Use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w:t>
      </w:r>
    </w:p>
    <w:p>
      <w:pPr>
        <w:spacing w:before="0" w:after="0" w:line="408" w:lineRule="exact"/>
        <w:ind w:left="0" w:right="0" w:firstLine="576"/>
        <w:jc w:val="left"/>
      </w:pPr>
      <w:r>
        <w:rPr/>
        <w:t xml:space="preserve">(c) During the 2011-2013 and 2013-2015 fiscal biennia, automated traffic safety cameras may be used to detect speed violations for the purposes of section 201(2), chapter 367, Laws of 2011 and section 201(4), chapter 306, Laws of 2013 if the local legislative authority first enacts an ordinance authorizing the use of cameras to detect speed violations.</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(i) </w:t>
      </w:r>
      <w:r>
        <w:rPr>
          <w:u w:val="single"/>
        </w:rPr>
        <w:t xml:space="preserve">A flashing yellow beacon must be located in school speed zones where automated traffic safety cameras are installed. A beacon required under this subsection (1)(i) must flash only when an automated traffic safety camera is being used and not at any other time. Signage must be placed in school speed zones where automatic traffic safety cameras are installed and must comply with the standards contained in the manual on uniform traffic control devices. Jurisdictions may consult with the Washington traffic safety commission about signage recommendations for school speed zones.</w:t>
      </w:r>
    </w:p>
    <w:p>
      <w:pPr>
        <w:spacing w:before="0" w:after="0" w:line="408" w:lineRule="exact"/>
        <w:ind w:left="0" w:right="0" w:firstLine="576"/>
        <w:jc w:val="left"/>
      </w:pPr>
      <w:r>
        <w:rPr>
          <w:u w:val="single"/>
        </w:rPr>
        <w:t xml:space="preserve">(j)</w:t>
      </w:r>
      <w:r>
        <w:rPr/>
        <w:t xml:space="preserve">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w:t>
      </w:r>
      <w:r>
        <w:t>((</w:t>
      </w:r>
      <w:r>
        <w:rPr>
          <w:strike/>
        </w:rPr>
        <w:t xml:space="preserve">(3)</w:t>
      </w:r>
      <w:r>
        <w:t>))</w:t>
      </w:r>
      <w:r>
        <w:rPr>
          <w:u w:val="single"/>
        </w:rPr>
        <w:t xml:space="preserve">(2)</w:t>
      </w:r>
      <w:r>
        <w:rPr/>
        <w:t xml:space="preserve">.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in a school speed zone as detected by a speed measuring device. During the 2011-2013 and 2013-2015 fiscal biennia, an automated traffic safety camera includes a camera used to detect speed violations for the purposes of section 201(2), chapter 367, Laws of 2011 and section 201(4), chapter 306, Laws of 2013.</w:t>
      </w:r>
    </w:p>
    <w:p>
      <w:pPr>
        <w:spacing w:before="0" w:after="0" w:line="408" w:lineRule="exact"/>
        <w:ind w:left="0" w:right="0" w:firstLine="576"/>
        <w:jc w:val="left"/>
      </w:pPr>
      <w:r>
        <w:rPr/>
        <w:t xml:space="preserve">(6) During the 2011-2013 and 2013-2015 fiscal biennia, this section does not apply to automated traffic safety cameras for the purposes of section 216(5), chapter 367, Laws of 2011 and section 216(6), chapter 306, Laws of 2013.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2015.</w:t>
      </w:r>
    </w:p>
    <w:p/>
    <w:p>
      <w:pPr>
        <w:jc w:val="center"/>
      </w:pPr>
      <w:r>
        <w:rPr>
          <w:b/>
        </w:rPr>
        <w:t>--- END ---</w:t>
      </w:r>
    </w:p>
    <w:sectPr>
      <w:pgNumType w:start="1"/>
      <w:footerReference xmlns:r="http://schemas.openxmlformats.org/officeDocument/2006/relationships" r:id="R3313fecc4bf448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1087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aabd4f83d04f15" /><Relationship Type="http://schemas.openxmlformats.org/officeDocument/2006/relationships/footer" Target="/word/footer.xml" Id="R3313fecc4bf448d5" /></Relationships>
</file>