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3d53f29be41b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Hudgins, Morris, Robinson, Kirby, Gregerson, Stanford, Ryu, Magendanz, and Pollet; by request of Attorney General)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protection of consumer financial information; amending RCW 19.255.010 and 42.56.590;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data breaches of personal information can compromise financial security and be costly to consumers. The legislature intends to strengthen the data breach notification requirements to better safeguard personal information, prevent identity theft, and ensure that the attorney general receives notification when breaches occur so that appropriate action may be taken to protect consumers. The legislature also intends to provide consumers whose personal information has been jeopardized due to a data breach with the information needed to secure financial accounts and make the necessary reports in a timely manner to minimize harm from identity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2005 c 368 s 2 are each amended to read as follows:</w:t>
      </w:r>
    </w:p>
    <w:p>
      <w:pPr>
        <w:spacing w:before="0" w:after="0" w:line="408" w:lineRule="exact"/>
        <w:ind w:left="0" w:right="0" w:firstLine="576"/>
        <w:jc w:val="left"/>
      </w:pPr>
      <w:r>
        <w:rPr/>
        <w:t xml:space="preserve">(1) Any person or business that conducts business in this state and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(2) Any person or business that maintains </w:t>
      </w:r>
      <w:r>
        <w:t>((</w:t>
      </w:r>
      <w:r>
        <w:rPr>
          <w:strike/>
        </w:rPr>
        <w:t xml:space="preserve">computerized</w:t>
      </w:r>
      <w:r>
        <w:t>))</w:t>
      </w:r>
      <w:r>
        <w:rPr/>
        <w:t xml:space="preserve">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(15) of this section in compliance with the timeliness of notification requirements of section 13402 of the federal health information technology for economic and clinical health act, Public Law 111-5 as it existed on the effective date of this section, notwithstanding the notification requirement in subsection (16) of this section.</w:t>
      </w:r>
    </w:p>
    <w:p>
      <w:pPr>
        <w:spacing w:before="0" w:after="0" w:line="408" w:lineRule="exact"/>
        <w:ind w:left="0" w:right="0" w:firstLine="576"/>
        <w:jc w:val="left"/>
      </w:pPr>
      <w:r>
        <w:rPr>
          <w:u w:val="single"/>
        </w:rPr>
        <w:t xml:space="preserve">(11) A financial institution under the authority of the office of the comptroller of the currency, the federal deposit insurance corporation, the national credit union administration, or the federal reserve system is deemed to have complied with the requirements of this section with respect to "sensitive customer information" as defined in the interagency guidelines establishing information security standards, 12 C.F.R. Part 30, Appendix B, 12 C.F.R. Part 208, Appendix D-2, 12 C.F.R. Part 225, Appendix F, and 12 C.F.R. Part 364, Appendix B, and 12 C.F.R. Part 748, Appendices A and B, as they existed on the effective date of this section, if the financial institution provides notice to affected consumers pursuant to the interagency guidelines and the notice complies with the customer notice provisions of the interagency guidelines establishing information security standards and the interagency guidance on response programs for unauthorized access to customer information and customer notice under 12 C.F.R. Part 364 as it existed on the effective date of this section. The entity shall notify the attorney general pursuant to subsection (15) of this section in addition to providing notice to its primary federal regulator.</w:t>
      </w:r>
    </w:p>
    <w:p>
      <w:pPr>
        <w:spacing w:before="0" w:after="0" w:line="408" w:lineRule="exact"/>
        <w:ind w:left="0" w:right="0" w:firstLine="576"/>
        <w:jc w:val="left"/>
      </w:pPr>
      <w:r>
        <w:rPr>
          <w:u w:val="single"/>
        </w:rPr>
        <w:t xml:space="preserve">(12)</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(13)</w:t>
      </w:r>
      <w:r>
        <w:rPr/>
        <w:t xml:space="preserve">(a) Any </w:t>
      </w:r>
      <w:r>
        <w:t>((</w:t>
      </w:r>
      <w:r>
        <w:rPr>
          <w:strike/>
        </w:rPr>
        <w:t xml:space="preserve">customer</w:t>
      </w:r>
      <w:r>
        <w:t>))</w:t>
      </w:r>
      <w:r>
        <w:rPr/>
        <w:t xml:space="preserve"> </w:t>
      </w:r>
      <w:r>
        <w:rPr>
          <w:u w:val="single"/>
        </w:rPr>
        <w:t xml:space="preserve">consumer</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rPr>
          <w:u w:val="single"/>
        </w:rPr>
        <w:t xml:space="preserve">person or</w:t>
      </w:r>
      <w:r>
        <w:rPr/>
        <w:t xml:space="preserve">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 person or business under this section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(14) Any person or business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person or business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 and</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(15) Any person or business that is required to issue a notification pursuant to this section to more than five hundred Washington residents as a result of a single breach shall, by the time notice is provided to affected consumers,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rPr>
          <w:u w:val="single"/>
        </w:rPr>
        <w:t xml:space="preserve">(16) Notification to affected consumers and to the attorney general under this section must be made in the most expedient time possible and without unreasonable delay, no more than forty-five calendar days after the breach was discovered, unless at the request of law enforcement as provided in subsection (3) of this section, or due to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(17) The attorney general may bring an action in the name of the state, or as parens patriae on behalf of persons residing in the state, to enforce this section. For actions brought by the attorney general to enforce this section, the legislature finds that the practices covered by this section are matters vitally affecting the public interest for the purpose of applying the consumer protection act, chapter 19.86 RCW. For actions brought by the attorney general to enforce this section, a violation of this section is not reasonable in relation to the development and preservation of business and is an unfair or deceptive act in trade or commerce and an unfair method of competition for purposes of applying the consumer protection act, chapter 19.86 RCW. An action to enforce this section may not be brought under RCW 19.86.090.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2007 c 197 s 9 are each amended to read as follows:</w:t>
      </w:r>
    </w:p>
    <w:p>
      <w:pPr>
        <w:spacing w:before="0" w:after="0" w:line="408" w:lineRule="exact"/>
        <w:ind w:left="0" w:right="0" w:firstLine="576"/>
        <w:jc w:val="left"/>
      </w:pPr>
      <w:r>
        <w:rPr/>
        <w:t xml:space="preserve">(1)(a) Any agency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rPr>
          <w:u w:val="single"/>
        </w:rPr>
        <w:t xml:space="preserve">and the personal information was not secured</w:t>
      </w:r>
      <w:r>
        <w:rPr/>
        <w:t xml:space="preserve">.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t xml:space="preserve"> </w:t>
      </w:r>
      <w:r>
        <w:rPr>
          <w:u w:val="single"/>
        </w:rPr>
        <w:t xml:space="preserve">Notice is not required if the breach of the security of the system is not reasonably likely to subject consumers to a risk of harm. The breach of secured personal information must be disclosed if the information acquired and accessed is not secured during a security breach or if the confidential process, encryption key, or other means to decipher the secured information was acquired by an unauthorized person.</w:t>
      </w:r>
    </w:p>
    <w:p>
      <w:pPr>
        <w:spacing w:before="0" w:after="0" w:line="408" w:lineRule="exact"/>
        <w:ind w:left="0" w:right="0" w:firstLine="576"/>
        <w:jc w:val="left"/>
      </w:pPr>
      <w:r>
        <w:rPr/>
        <w:t xml:space="preserve">(b) For purposes of this section, "agency" means the same as in RCW 42.56.010.</w:t>
      </w:r>
    </w:p>
    <w:p>
      <w:pPr>
        <w:spacing w:before="0" w:after="0" w:line="408" w:lineRule="exact"/>
        <w:ind w:left="0" w:right="0" w:firstLine="576"/>
        <w:jc w:val="left"/>
      </w:pPr>
      <w:r>
        <w:rPr/>
        <w:t xml:space="preserve">(2) Any agency that maintains </w:t>
      </w:r>
      <w:r>
        <w:t>((</w:t>
      </w:r>
      <w:r>
        <w:rPr>
          <w:strike/>
        </w:rPr>
        <w:t xml:space="preserve">computerized</w:t>
      </w:r>
      <w:r>
        <w:t>))</w:t>
      </w:r>
      <w:r>
        <w:rPr/>
        <w:t xml:space="preserve"> data that includes personal information that the agency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w:t>
      </w:r>
      <w:r>
        <w:rPr>
          <w:u w:val="single"/>
        </w:rPr>
        <w:t xml:space="preserve">the data owner or licensee contacts a law enforcement agency after discovery of a breach of the security of the system and</w:t>
      </w:r>
      <w:r>
        <w:rPr/>
        <w:t xml:space="preserve">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t xml:space="preserve"> </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w:t>
      </w:r>
      <w:r>
        <w:rPr>
          <w:u w:val="single"/>
        </w:rPr>
        <w:t xml:space="preserve">, "secured" means encrypted in a manner that meets or exceeds the national institute of standards and technology (NIST) standard or is otherwise modified so that the personal information is rendered unreadable, unusable, or undecipherable by an unauthorized person.</w:t>
      </w:r>
    </w:p>
    <w:p>
      <w:pPr>
        <w:spacing w:before="0" w:after="0" w:line="408" w:lineRule="exact"/>
        <w:ind w:left="0" w:right="0" w:firstLine="576"/>
        <w:jc w:val="left"/>
      </w:pPr>
      <w:r>
        <w:rPr>
          <w:u w:val="single"/>
        </w:rPr>
        <w:t xml:space="preserve">(8) For purposes of this section</w:t>
      </w:r>
      <w:r>
        <w:rPr/>
        <w:t xml:space="preserve"> and except under subsection</w:t>
      </w:r>
      <w:r>
        <w:rPr>
          <w:u w:val="single"/>
        </w:rPr>
        <w:t xml:space="preserve">s</w:t>
      </w:r>
      <w:r>
        <w:rPr/>
        <w:t xml:space="preserve"> </w:t>
      </w:r>
      <w:r>
        <w:t>((</w:t>
      </w:r>
      <w:r>
        <w:rPr>
          <w:strike/>
        </w:rPr>
        <w:t xml:space="preserve">(8)</w:t>
      </w:r>
      <w:r>
        <w:t>))</w:t>
      </w:r>
      <w:r>
        <w:rPr/>
        <w:t xml:space="preserve"> </w:t>
      </w:r>
      <w:r>
        <w:rPr>
          <w:u w:val="single"/>
        </w:rPr>
        <w:t xml:space="preserve">(9) and (10)</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t>((</w:t>
      </w:r>
      <w:r>
        <w:rPr>
          <w:strike/>
        </w:rPr>
        <w:t xml:space="preserve">(9)</w:t>
      </w:r>
      <w:r>
        <w:t>))</w:t>
      </w:r>
      <w:r>
        <w:rPr/>
        <w:t xml:space="preserve"> </w:t>
      </w:r>
      <w:r>
        <w:rPr>
          <w:u w:val="single"/>
        </w:rPr>
        <w:t xml:space="preserve">(10) A covered entity under the federal health insurance portability and accountability act of 1996, 42 U.S.C. Sec. 1320d et seq., is deemed to have complied with the requirements of this section with respect to protected health information if it has complied with section 13402 of the federal health information technology for economic and clinical health act, Public Law 111-5 as it existed on the effective date of this section. Covered entities shall notify the attorney general pursuant to subsection (14) of this section in compliance with the timeliness of notification requirements of section 13402 of the federal health information technology for economic and clinical health act, Public Law 111-5 as it existed on the effective date of this section, notwithstanding the notification requirement in subsection (15) of this section.</w:t>
      </w:r>
    </w:p>
    <w:p>
      <w:pPr>
        <w:spacing w:before="0" w:after="0" w:line="408" w:lineRule="exact"/>
        <w:ind w:left="0" w:right="0" w:firstLine="576"/>
        <w:jc w:val="left"/>
      </w:pPr>
      <w:r>
        <w:rPr>
          <w:u w:val="single"/>
        </w:rPr>
        <w:t xml:space="preserve">(11)</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(a) Any </w:t>
      </w:r>
      <w:r>
        <w:t>((</w:t>
      </w:r>
      <w:r>
        <w:rPr>
          <w:strike/>
        </w:rPr>
        <w:t xml:space="preserve">customer</w:t>
      </w:r>
      <w:r>
        <w:t>))</w:t>
      </w:r>
      <w:r>
        <w:rPr/>
        <w:t xml:space="preserve"> </w:t>
      </w:r>
      <w:r>
        <w:rPr>
          <w:u w:val="single"/>
        </w:rPr>
        <w:t xml:space="preserve">individual</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t>((</w:t>
      </w:r>
      <w:r>
        <w:rPr>
          <w:strike/>
        </w:rPr>
        <w:t xml:space="preserve">business</w:t>
      </w:r>
      <w:r>
        <w:t>))</w:t>
      </w:r>
      <w:r>
        <w:rPr/>
        <w:t xml:space="preserve"> </w:t>
      </w:r>
      <w:r>
        <w:rPr>
          <w:u w:val="single"/>
        </w:rPr>
        <w:t xml:space="preserve">agency</w:t>
      </w:r>
      <w:r>
        <w:rPr/>
        <w:t xml:space="preserve">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An agency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(13) Any agency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agency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(14) Any agency that is required to issue a notification pursuant to this section to more than five hundred Washington residents as a result of a single breach shall, by the time notice is provided to affected individuals, electronically submit a single sample copy of that security breach notification, excluding any personally identifiable information, to the attorney general. The agency shall also provide to the attorney general the number of Washington residents affected by the breach, or an estimate if the exact number is not known.</w:t>
      </w:r>
    </w:p>
    <w:p>
      <w:pPr>
        <w:spacing w:before="0" w:after="0" w:line="408" w:lineRule="exact"/>
        <w:ind w:left="0" w:right="0" w:firstLine="576"/>
        <w:jc w:val="left"/>
      </w:pPr>
      <w:r>
        <w:rPr>
          <w:u w:val="single"/>
        </w:rPr>
        <w:t xml:space="preserve">(15) Notification to affected individuals and to the attorney general must be made in the most expedient time possible and without unreasonable delay, no more than forty-five calendar days after the breach was discovered, unless at the request of law enforcement as provided in subsection (3) of this section, or due to any measures necessary to determine the scope of the breach and restore the reasonable integrity of the data system.</w:t>
      </w:r>
    </w:p>
    <w:p/>
    <w:p>
      <w:pPr>
        <w:jc w:val="center"/>
      </w:pPr>
      <w:r>
        <w:rPr>
          <w:b/>
        </w:rPr>
        <w:t>--- END ---</w:t>
      </w:r>
    </w:p>
    <w:sectPr>
      <w:pgNumType w:start="1"/>
      <w:footerReference xmlns:r="http://schemas.openxmlformats.org/officeDocument/2006/relationships" r:id="R70d98e6576194e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ca2ee4245c46a1" /><Relationship Type="http://schemas.openxmlformats.org/officeDocument/2006/relationships/footer" Target="/word/footer.xml" Id="R70d98e6576194e44" /></Relationships>
</file>