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ecdb854d5b4832" /></Relationships>
</file>

<file path=word/document.xml><?xml version="1.0" encoding="utf-8"?>
<w:document xmlns:w="http://schemas.openxmlformats.org/wordprocessingml/2006/main">
  <w:body>
    <w:p>
      <w:r>
        <w:t>H-1227.3</w:t>
      </w:r>
    </w:p>
    <w:p>
      <w:pPr>
        <w:jc w:val="center"/>
      </w:pPr>
      <w:r>
        <w:t>_______________________________________________</w:t>
      </w:r>
    </w:p>
    <w:p/>
    <w:p>
      <w:pPr>
        <w:jc w:val="center"/>
      </w:pPr>
      <w:r>
        <w:rPr>
          <w:b/>
        </w:rPr>
        <w:t>SUBSTITUTE HOUSE BILL 1054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Stanford and Gregerson)</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agency transaction fees for processing electronic payments; amending RCW 19.16.250; and reenacting and amending RCW 19.16.100.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2013 c 148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w:t>
      </w:r>
      <w:r>
        <w:rPr>
          <w:u w:val="single"/>
        </w:rPr>
        <w:t xml:space="preserve">"Credit card payment" means any payment made by a payment card that incurs a credit card interchange fee to the collection agency, regardless of the type of payment card used.</w:t>
      </w:r>
    </w:p>
    <w:p>
      <w:pPr>
        <w:spacing w:before="0" w:after="0" w:line="408" w:lineRule="exact"/>
        <w:ind w:left="0" w:right="0" w:firstLine="576"/>
        <w:jc w:val="left"/>
      </w:pPr>
      <w:r>
        <w:rPr>
          <w:u w:val="single"/>
        </w:rPr>
        <w:t xml:space="preserve">(8)</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u w:val="single"/>
        </w:rPr>
        <w:t xml:space="preserve">(9)</w:t>
      </w:r>
      <w:r>
        <w:rPr/>
        <w:t xml:space="preserve"> "Director" means the director of licensing.</w:t>
      </w:r>
    </w:p>
    <w:p>
      <w:pPr>
        <w:spacing w:before="0" w:after="0" w:line="408" w:lineRule="exact"/>
        <w:ind w:left="0" w:right="0" w:firstLine="576"/>
        <w:jc w:val="left"/>
      </w:pPr>
      <w:r>
        <w:t>((</w:t>
      </w:r>
      <w:r>
        <w:rPr>
          <w:strike/>
        </w:rPr>
        <w:t xml:space="preserve">(9)</w:t>
      </w:r>
      <w:r>
        <w:t>))</w:t>
      </w:r>
      <w:r>
        <w:rPr>
          <w:u w:val="single"/>
        </w:rPr>
        <w:t xml:space="preserve">(10)</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w:t>
      </w:r>
      <w:r>
        <w:rPr>
          <w:u w:val="single"/>
        </w:rPr>
        <w:t xml:space="preserve">:</w:t>
      </w:r>
    </w:p>
    <w:p>
      <w:pPr>
        <w:spacing w:before="0" w:after="0" w:line="408" w:lineRule="exact"/>
        <w:ind w:left="0" w:right="0" w:firstLine="576"/>
        <w:jc w:val="left"/>
      </w:pPr>
      <w:r>
        <w:rPr>
          <w:u w:val="single"/>
        </w:rPr>
        <w:t xml:space="preserve">(a) A</w:t>
      </w:r>
      <w:r>
        <w:rPr/>
        <w:t xml:space="preserve">llowable interest, collection costs or handling fees expressly authorized by statute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A transaction fee for processing a credit card payment in an amount that does not exceed fifty cents plus three percent of the payment amount provided that a no-cost payment option is available to the debtor and the option is disclosed to the debtor at the same time and in the same manner as the debtor's credit card information is taken;</w:t>
      </w:r>
    </w:p>
    <w:p>
      <w:pPr>
        <w:spacing w:before="0" w:after="0" w:line="408" w:lineRule="exact"/>
        <w:ind w:left="0" w:right="0" w:firstLine="576"/>
        <w:jc w:val="left"/>
      </w:pPr>
      <w:r>
        <w:rPr>
          <w:u w:val="single"/>
        </w:rPr>
        <w:t xml:space="preserve">(c) I</w:t>
      </w:r>
      <w:r>
        <w:rPr/>
        <w:t xml:space="preserve">n the case of suit, attorneys' fees and taxable court costs</w:t>
      </w:r>
      <w:r>
        <w:t>((</w:t>
      </w:r>
      <w:r>
        <w:rPr>
          <w:strike/>
        </w:rPr>
        <w:t xml:space="preserve">. A licensee may collect or attempt to collect</w:t>
      </w:r>
      <w:r>
        <w:t>))</w:t>
      </w:r>
      <w:r>
        <w:rPr>
          <w:u w:val="single"/>
        </w:rPr>
        <w:t xml:space="preserve">; and</w:t>
      </w:r>
    </w:p>
    <w:p>
      <w:pPr>
        <w:spacing w:before="0" w:after="0" w:line="408" w:lineRule="exact"/>
        <w:ind w:left="0" w:right="0" w:firstLine="576"/>
        <w:jc w:val="left"/>
      </w:pPr>
      <w:r>
        <w:rPr>
          <w:u w:val="single"/>
        </w:rPr>
        <w:t xml:space="preserve">(d) In the case of a commercial claim,</w:t>
      </w:r>
      <w:r>
        <w:rPr/>
        <w:t xml:space="preserve"> collection costs and fees, including contingent collection fees, as authorized by a written agreement or contract, between the licensee's client and the debtor</w:t>
      </w:r>
      <w:r>
        <w:t>((</w:t>
      </w:r>
      <w:r>
        <w:rPr>
          <w:strike/>
        </w:rPr>
        <w:t xml:space="preserve">, in the collection of a commercial claim</w:t>
      </w:r>
      <w:r>
        <w:t>))</w:t>
      </w:r>
      <w:r>
        <w:rPr/>
        <w:t xml:space="preserve">.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
      <w:pPr>
        <w:jc w:val="center"/>
      </w:pPr>
      <w:r>
        <w:rPr>
          <w:b/>
        </w:rPr>
        <w:t>--- END ---</w:t>
      </w:r>
    </w:p>
    <w:sectPr>
      <w:pgNumType w:start="1"/>
      <w:footerReference xmlns:r="http://schemas.openxmlformats.org/officeDocument/2006/relationships" r:id="R6cf4976485be4f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9e37eb2e84f2c" /><Relationship Type="http://schemas.openxmlformats.org/officeDocument/2006/relationships/footer" Target="/word/footer.xml" Id="R6cf4976485be4f35" /></Relationships>
</file>