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aa6c49d5c04ae6" /></Relationships>
</file>

<file path=word/document.xml><?xml version="1.0" encoding="utf-8"?>
<w:document xmlns:w="http://schemas.openxmlformats.org/wordprocessingml/2006/main">
  <w:body>
    <w:p>
      <w:r>
        <w:t>H-0332.1</w:t>
      </w:r>
    </w:p>
    <w:p>
      <w:pPr>
        <w:jc w:val="center"/>
      </w:pPr>
      <w:r>
        <w:t>_______________________________________________</w:t>
      </w:r>
    </w:p>
    <w:p/>
    <w:p>
      <w:pPr>
        <w:jc w:val="center"/>
      </w:pPr>
      <w:r>
        <w:rPr>
          <w:b/>
        </w:rPr>
        <w:t>HOUSE BILL 1016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Santos, Ormsby, and Pollet</w:t>
      </w:r>
    </w:p>
    <w:p/>
    <w:p>
      <w:r>
        <w:rPr>
          <w:t xml:space="preserve">Prefiled 12/08/14.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and amending RCW 9.94A.760 and 9.94B.040.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 Upon receipt of an offender's monthly payment, restitution shall be paid prior to any payments of other monetary obligations. After restitution is satisfied, the county clerk shall distribute the payment proportionally among all other fines, costs, and assessments imposed, unless otherwise ordered by the court.</w:t>
      </w:r>
    </w:p>
    <w:p>
      <w:pPr>
        <w:spacing w:before="0" w:after="0" w:line="408" w:lineRule="exact"/>
        <w:ind w:left="0" w:right="0" w:firstLine="576"/>
        <w:jc w:val="left"/>
      </w:pPr>
      <w:r>
        <w:rPr/>
        <w:t xml:space="preserve">(2) If the court determines that the offender, at the time of sentencing, has the means to pay for the cost of incarceration, the court may require the offender to pay for the cost of incarceration at a rate of fifty dollars per day of incarceration, if incarcerated in a prison, or the court may require the offender to pay the actual cost of incarceration per day of incarceration, if incarcerated in a county jail. In no case may the court require the offender to pay more than one hundred dollars per day for the cost of incarceration. Payment of other court-ordered financial obligations, including all legal financial obligations and costs of supervision shall take precedence over the payment of the cost of incarceration ordered by the court.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(3)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(4)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(5)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(6)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(7)(a)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(8)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(9)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(10)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However, if the court determines that the offender is homeless or a person who is mentally ill, as defined in RCW 71.24.025, failure to pay is not willful noncompliance and shall not subject the offender to penalties.</w:t>
      </w:r>
    </w:p>
    <w:p>
      <w:pPr>
        <w:spacing w:before="0" w:after="0" w:line="408" w:lineRule="exact"/>
        <w:ind w:left="0" w:right="0" w:firstLine="576"/>
        <w:jc w:val="left"/>
      </w:pPr>
      <w:r>
        <w:rPr/>
        <w:t xml:space="preserve">(11)(a)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(12)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(4) of this section. The costs for collection services shall be paid by the offender.</w:t>
      </w:r>
    </w:p>
    <w:p>
      <w:pPr>
        <w:spacing w:before="0" w:after="0" w:line="408" w:lineRule="exact"/>
        <w:ind w:left="0" w:right="0" w:firstLine="576"/>
        <w:jc w:val="left"/>
      </w:pPr>
      <w:r>
        <w:rPr/>
        <w:t xml:space="preserve">(13)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(14)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(iii) convert monetary obligations, except restitution and the crime victim penalty assessment, to community restitution hours at the rate of the state minimum wage as established in RCW 49.46.020 for each hour of community restitution, or (iv)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payment of legal financial obligations and regarding community restitution obligations</w:t>
      </w:r>
      <w:r>
        <w:rPr>
          <w:u w:val="single"/>
        </w:rPr>
        <w:t xml:space="preserve">. If the violation is nonpayment of legal financial obligations and the court determines that the offender is homeless or a person who is mentally ill, as defined in RCW 71.24.025, the failure to pay is not a willful violation</w:t>
      </w:r>
      <w:r>
        <w:rPr/>
        <w:t xml:space="preserve">;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(5)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(6) Nothing in this section prohibits the filing of escape charges if appropriate.</w:t>
      </w:r>
    </w:p>
    <w:p/>
    <w:p>
      <w:pPr>
        <w:jc w:val="center"/>
      </w:pPr>
      <w:r>
        <w:rPr>
          <w:b/>
        </w:rPr>
        <w:t>--- END ---</w:t>
      </w:r>
    </w:p>
    <w:sectPr>
      <w:pgNumType w:start="1"/>
      <w:footerReference xmlns:r="http://schemas.openxmlformats.org/officeDocument/2006/relationships" r:id="R92f0b66430bb40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db14e8572485a" /><Relationship Type="http://schemas.openxmlformats.org/officeDocument/2006/relationships/footer" Target="/word/footer.xml" Id="R92f0b66430bb409e" /></Relationships>
</file>