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44e24f46f04493" /></Relationships>
</file>

<file path=word/document.xml><?xml version="1.0" encoding="utf-8"?>
<w:document xmlns:w="http://schemas.openxmlformats.org/wordprocessingml/2006/main">
  <w:body>
    <w:p>
      <w:r>
        <w:t>H-0078.1</w:t>
      </w:r>
    </w:p>
    <w:p>
      <w:pPr>
        <w:jc w:val="center"/>
      </w:pPr>
      <w:r>
        <w:t>_______________________________________________</w:t>
      </w:r>
    </w:p>
    <w:p/>
    <w:p>
      <w:pPr>
        <w:jc w:val="center"/>
      </w:pPr>
      <w:r>
        <w:rPr>
          <w:b/>
        </w:rPr>
        <w:t>HOUSE BILL 1011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Short, Takko, Springer, Buys, Kretz, Shea, Gregerson, and Condotta</w:t>
      </w:r>
    </w:p>
    <w:p/>
    <w:p>
      <w:r>
        <w:rPr>
          <w:t xml:space="preserve">Prefiled 12/08/14.</w:t>
        </w:rPr>
      </w:r>
      <w:r>
        <w:rPr>
          <w:t xml:space="preserve">Read first time 01/12/15.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assigning counties to two climate zones for purposes of the state building code; amending RCW 19.27.031 and 19.27A.020;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building code council adopted by rule changes to the climate zones used in the building codes due to modifications in the 2012 international energy conservation code (IECC). The legislature intends to update the statutes to be more reflective of the national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2003 c 291 s 2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w:t>
      </w:r>
      <w:r>
        <w:rPr>
          <w:strike/>
        </w:rPr>
        <w:t xml:space="preserve">[,]</w:t>
      </w:r>
      <w:r>
        <w:rPr/>
        <w:t xml:space="preserve">))</w:t>
      </w:r>
      <w:r>
        <w:rPr>
          <w:u w:val="single"/>
        </w:rPr>
        <w:t xml:space="preserve">,</w:t>
      </w:r>
      <w:r>
        <w:rPr/>
        <w:t xml:space="preserve">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w:t>
      </w:r>
      <w:r>
        <w:rPr>
          <w:strike/>
        </w:rPr>
        <w:t xml:space="preserve">[,]</w:t>
      </w:r>
      <w:r>
        <w:rPr/>
        <w:t xml:space="preserve">))</w:t>
      </w:r>
      <w:r>
        <w:rPr>
          <w:u w:val="single"/>
        </w:rPr>
        <w:t xml:space="preserve">,</w:t>
      </w:r>
      <w:r>
        <w:rPr/>
        <w:t xml:space="preserve"> Inc., except that the standards for liquified petroleum gas installations shall be NFPA 58 (Storage and Handling of Liquified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w:t>
      </w:r>
      <w:r>
        <w:rPr>
          <w:strike/>
        </w:rPr>
        <w:t xml:space="preserve">[,]</w:t>
      </w:r>
      <w:r>
        <w:rPr/>
        <w:t xml:space="preserve">))</w:t>
      </w:r>
      <w:r>
        <w:rPr>
          <w:u w:val="single"/>
        </w:rPr>
        <w:t xml:space="preserve">,</w:t>
      </w:r>
      <w:r>
        <w:rPr/>
        <w:t xml:space="preserve">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Except as provided in RCW 19.27.170, the Uniform Plumbing Code and Uniform Plumbing Code Standards, published by the International Association of Plumbing and Mechanical Officials: PROVIDED, That any provisions of such code affecting sewers or fuel gas piping are not adopted; ((</w:t>
      </w:r>
      <w:r>
        <w:rPr>
          <w:strike/>
        </w:rPr>
        <w:t xml:space="preserve">and</w:t>
      </w:r>
      <w:r>
        <w:rPr/>
        <w:t xml:space="preserve">))</w:t>
      </w:r>
    </w:p>
    <w:p>
      <w:pPr>
        <w:spacing w:before="0" w:after="0" w:line="408" w:lineRule="exact"/>
        <w:ind w:left="0" w:right="0" w:firstLine="576"/>
        <w:jc w:val="left"/>
      </w:pPr>
      <w:r>
        <w:rPr/>
        <w:t xml:space="preserve">(5) The rules adopted by the council establishing standards for making buildings and facilities accessible to and usable by ((</w:t>
      </w:r>
      <w:r>
        <w:rPr>
          <w:strike/>
        </w:rPr>
        <w:t xml:space="preserve">the physically disabled</w:t>
      </w:r>
      <w:r>
        <w:rPr/>
        <w:t xml:space="preserve">)) </w:t>
      </w:r>
      <w:r>
        <w:rPr>
          <w:u w:val="single"/>
        </w:rPr>
        <w:t xml:space="preserve">individuals with disabilities</w:t>
      </w:r>
      <w:r>
        <w:rPr/>
        <w:t xml:space="preserve"> or elderly persons as provided in RCW 70.92.100 through 70.92.160</w:t>
      </w:r>
      <w:r>
        <w:rPr>
          <w:u w:val="single"/>
        </w:rPr>
        <w:t xml:space="preserve">; and</w:t>
      </w:r>
    </w:p>
    <w:p>
      <w:pPr>
        <w:spacing w:before="0" w:after="0" w:line="408" w:lineRule="exact"/>
        <w:ind w:left="0" w:right="0" w:firstLine="576"/>
        <w:jc w:val="left"/>
      </w:pPr>
      <w:r>
        <w:rPr>
          <w:u w:val="single"/>
        </w:rPr>
        <w:t xml:space="preserve">(6) The state's climate zones for building purposes are designated in RCW 19.27A.020(3) and may not be changed through the adoption of a model code or rule</w:t>
      </w:r>
      <w:r>
        <w:rPr/>
        <w:t xml:space="preserve">.</w:t>
      </w:r>
    </w:p>
    <w:p>
      <w:pPr>
        <w:spacing w:before="0" w:after="0" w:line="408" w:lineRule="exact"/>
        <w:ind w:left="0" w:right="0" w:firstLine="576"/>
        <w:jc w:val="left"/>
      </w:pPr>
      <w:r>
        <w:rPr/>
        <w:t xml:space="preserve">In case of conflict among the codes enumerated in subsections (1), (2), (3), and (4)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spacing w:before="0" w:after="0" w:line="408" w:lineRule="exact"/>
        <w:ind w:left="0" w:right="0" w:firstLine="576"/>
        <w:jc w:val="left"/>
      </w:pPr>
      <w:r>
        <w:rPr/>
        <w:t xml:space="preserve">(1) The state building code council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w:t>
      </w:r>
      <w:r>
        <w:rPr>
          <w:strike/>
        </w:rPr>
        <w:t xml:space="preserve">Climate zone 1 shall include all counties not included in climate zone 2. Climate zone 2</w:t>
      </w:r>
      <w:r>
        <w:rPr/>
        <w:t xml:space="preserve">)) </w:t>
      </w:r>
      <w:r>
        <w:rPr>
          <w:u w:val="single"/>
        </w:rPr>
        <w:t xml:space="preserve">One climate zone</w:t>
      </w:r>
      <w:r>
        <w:rPr/>
        <w:t xml:space="preserve"> includes: Adams, </w:t>
      </w:r>
      <w:r>
        <w:rPr>
          <w:u w:val="single"/>
        </w:rPr>
        <w:t xml:space="preserve">Asotin, Benton,</w:t>
      </w:r>
      <w:r>
        <w:rPr/>
        <w:t xml:space="preserve"> Chelan, </w:t>
      </w:r>
      <w:r>
        <w:rPr>
          <w:u w:val="single"/>
        </w:rPr>
        <w:t xml:space="preserve">Columbia,</w:t>
      </w:r>
      <w:r>
        <w:rPr/>
        <w:t xml:space="preserve"> Douglas, Ferry, </w:t>
      </w:r>
      <w:r>
        <w:rPr>
          <w:u w:val="single"/>
        </w:rPr>
        <w:t xml:space="preserve">Franklin, Garfield,</w:t>
      </w:r>
      <w:r>
        <w:rPr/>
        <w:t xml:space="preserve"> Grant, Kittitas, </w:t>
      </w:r>
      <w:r>
        <w:rPr>
          <w:u w:val="single"/>
        </w:rPr>
        <w:t xml:space="preserve">Klickitat,</w:t>
      </w:r>
      <w:r>
        <w:rPr/>
        <w:t xml:space="preserve"> Lincoln, Okanogan, Pend Oreille, </w:t>
      </w:r>
      <w:r>
        <w:rPr>
          <w:u w:val="single"/>
        </w:rPr>
        <w:t xml:space="preserve">Skamania,</w:t>
      </w:r>
      <w:r>
        <w:rPr/>
        <w:t xml:space="preserve"> Spokane, Stevens, ((</w:t>
      </w:r>
      <w:r>
        <w:rPr>
          <w:strike/>
        </w:rPr>
        <w:t xml:space="preserve">and</w:t>
      </w:r>
      <w:r>
        <w:rPr/>
        <w:t xml:space="preserve">)) </w:t>
      </w:r>
      <w:r>
        <w:rPr>
          <w:u w:val="single"/>
        </w:rPr>
        <w:t xml:space="preserve">Walla Walla,</w:t>
      </w:r>
      <w:r>
        <w:rPr/>
        <w:t xml:space="preserve"> Whitman</w:t>
      </w:r>
      <w:r>
        <w:rPr>
          <w:u w:val="single"/>
        </w:rPr>
        <w:t xml:space="preserve">, and Yakima</w:t>
      </w:r>
      <w:r>
        <w:rPr/>
        <w:t xml:space="preserve"> counties. </w:t>
      </w:r>
      <w:r>
        <w:rPr>
          <w:u w:val="single"/>
        </w:rPr>
        <w:t xml:space="preserve">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w:t>
      </w:r>
      <w:r>
        <w:rPr>
          <w:strike/>
        </w:rPr>
        <w:t xml:space="preserve">general administration</w:t>
      </w:r>
      <w:r>
        <w:rPr/>
        <w:t xml:space="preserve">)) </w:t>
      </w:r>
      <w:r>
        <w:rPr>
          <w:u w:val="single"/>
        </w:rPr>
        <w:t xml:space="preserve">enterprise services</w:t>
      </w:r>
      <w:r>
        <w:rPr/>
        <w:t xml:space="preserve"> as provided in RCW 34.05.310 prior to publication of proposed rules. The director of the department of ((</w:t>
      </w:r>
      <w:r>
        <w:rPr>
          <w:strike/>
        </w:rPr>
        <w:t xml:space="preserve">general administration</w:t>
      </w:r>
      <w:r>
        <w:rPr/>
        <w:t xml:space="preserve">)) </w:t>
      </w:r>
      <w:r>
        <w:rPr>
          <w:u w:val="single"/>
        </w:rPr>
        <w:t xml:space="preserve">enterprise services</w:t>
      </w:r>
      <w:r>
        <w:rPr/>
        <w:t xml:space="preserve">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
      <w:pPr>
        <w:jc w:val="center"/>
      </w:pPr>
      <w:r>
        <w:rPr>
          <w:b/>
        </w:rPr>
        <w:t>--- END ---</w:t>
      </w:r>
    </w:p>
    <w:sectPr>
      <w:pgNumType w:start="1"/>
      <w:footerReference xmlns:r="http://schemas.openxmlformats.org/officeDocument/2006/relationships" r:id="R0fe4c741905d47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017b0e7e784574" /><Relationship Type="http://schemas.openxmlformats.org/officeDocument/2006/relationships/footer" Target="/word/footer.xml" Id="R0fe4c741905d47e2" /></Relationships>
</file>