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d44b85f2c434f" /></Relationships>
</file>

<file path=word/document.xml><?xml version="1.0" encoding="utf-8"?>
<w:document xmlns:w="http://schemas.openxmlformats.org/wordprocessingml/2006/main">
  <w:body>
    <w:p>
      <w:r>
        <w:t>H-0110.1</w:t>
      </w:r>
    </w:p>
    <w:p>
      <w:pPr>
        <w:jc w:val="center"/>
      </w:pPr>
      <w:r>
        <w:t>_______________________________________________</w:t>
      </w:r>
    </w:p>
    <w:p/>
    <w:p>
      <w:pPr>
        <w:jc w:val="center"/>
      </w:pPr>
      <w:r>
        <w:rPr>
          <w:b/>
        </w:rPr>
        <w:t>HOUSE BILL 1001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Young, Hayes, Orcutt, Haler, Kochmar, Hargrove, Harris, Pike, Wilson, Harmsworth, Vick, Muri, Fagan, Magendanz, Griffey, and Buys</w:t>
      </w:r>
    </w:p>
    <w:p/>
    <w:p>
      <w:r>
        <w:rPr>
          <w:t xml:space="preserve">Prefiled 12/05/14.</w:t>
        </w:rPr>
      </w:r>
      <w:r>
        <w:rPr>
          <w:t xml:space="preserve">Read first time 01/12/15.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education first; amending RCW 28A.150.380 and 43.88.030; adding a new section to chapter 44.04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Under Article IX, section 1 of the state Constitution, it is the paramount duty of the state to make ample provision for the education of all of Washington's children. According to the state supreme court, this constitutional provision requires that the state must amply provide for the education of all Washington children as the state's first and highest priority before any other state programs or operations. For these reasons, it is the intent of the legislature to require that all appropriations for K-12 basic education, together with appropriations for other K-12 education programs, be passed as separate legislation by both houses of the legislature and delivered to the governor at a specified point in the regular legislative session. Further, because education is the state's first obligation, the legislature should make provision for full funding of these K-12 appropriations from within existing revenue sources without relying on new tax sources or rates to support the state's paramount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380</w:t>
      </w:r>
      <w:r>
        <w:rPr/>
        <w:t xml:space="preserve"> and 2012 1st sp.s. c 10 s 3 are each amended to read as follows:</w:t>
      </w:r>
    </w:p>
    <w:p>
      <w:pPr>
        <w:spacing w:before="0" w:after="0" w:line="408" w:lineRule="exact"/>
        <w:ind w:left="0" w:right="0" w:firstLine="576"/>
        <w:jc w:val="left"/>
      </w:pPr>
      <w:r>
        <w:rPr/>
        <w:t xml:space="preserve">APPROPRIATIONS FOR K-12 EDUCATION AND OTHER K-12 PURPOSES. (1) The state legislature shall, at each regular session in an odd-numbered year, appropriate for the current use of the common schools such amounts as needed for state support to school districts during the ensuing biennium for the program of basic education under RCW 28A.150.200.</w:t>
      </w:r>
    </w:p>
    <w:p>
      <w:pPr>
        <w:spacing w:before="0" w:after="0" w:line="408" w:lineRule="exact"/>
        <w:ind w:left="0" w:right="0" w:firstLine="576"/>
        <w:jc w:val="left"/>
      </w:pPr>
      <w:r>
        <w:rPr/>
        <w:t xml:space="preserve">(2) In addition to those state funds provided to school districts for basic education, the legislature may appropriate funds to be distributed to school districts for other factors and for other special programs to enhance or enrich the program of basic education.</w:t>
      </w:r>
    </w:p>
    <w:p>
      <w:pPr>
        <w:spacing w:before="0" w:after="0" w:line="408" w:lineRule="exact"/>
        <w:ind w:left="0" w:right="0" w:firstLine="576"/>
        <w:jc w:val="left"/>
      </w:pPr>
      <w:r>
        <w:rPr>
          <w:u w:val="single"/>
        </w:rPr>
        <w:t xml:space="preserve">(3) Appropriations for purposes of this section and other K-12 education purposes must be:</w:t>
      </w:r>
    </w:p>
    <w:p>
      <w:pPr>
        <w:spacing w:before="0" w:after="0" w:line="408" w:lineRule="exact"/>
        <w:ind w:left="0" w:right="0" w:firstLine="576"/>
        <w:jc w:val="left"/>
      </w:pPr>
      <w:r>
        <w:rPr>
          <w:u w:val="single"/>
        </w:rPr>
        <w:t xml:space="preserve">(a) Proposed and enacted in legislation that is separate from the omnibus operating appropriations act;</w:t>
      </w:r>
    </w:p>
    <w:p>
      <w:pPr>
        <w:spacing w:before="0" w:after="0" w:line="408" w:lineRule="exact"/>
        <w:ind w:left="0" w:right="0" w:firstLine="576"/>
        <w:jc w:val="left"/>
      </w:pPr>
      <w:r>
        <w:rPr>
          <w:u w:val="single"/>
        </w:rPr>
        <w:t xml:space="preserve">(b) Passed by both houses of the legislature and delivered to the governor no later than March 31st for biennial appropriations and February 15th for supplemental appropriations; and</w:t>
      </w:r>
    </w:p>
    <w:p>
      <w:pPr>
        <w:spacing w:before="0" w:after="0" w:line="408" w:lineRule="exact"/>
        <w:ind w:left="0" w:right="0" w:firstLine="576"/>
        <w:jc w:val="left"/>
      </w:pPr>
      <w:r>
        <w:rPr>
          <w:u w:val="single"/>
        </w:rPr>
        <w:t xml:space="preserve">(c) Based on revenue sources and rates existing in law at the time of the enactment of the appropriations and may not rely on changes to revenue laws to support the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LEGISLATURE MUST ENACT K-12 APPROPRIATIONS BY SPECIFIED DATES. (1) During regular legislative sessions, appropriations for the purposes of RCW 28A.150.380 and other K-12 education purposes must be:</w:t>
      </w:r>
    </w:p>
    <w:p>
      <w:pPr>
        <w:spacing w:before="0" w:after="0" w:line="408" w:lineRule="exact"/>
        <w:ind w:left="0" w:right="0" w:firstLine="576"/>
        <w:jc w:val="left"/>
      </w:pPr>
      <w:r>
        <w:rPr/>
        <w:t xml:space="preserve">(a) Proposed and enacted in legislation that is separate from the omnibus operating appropriations act;</w:t>
      </w:r>
    </w:p>
    <w:p>
      <w:pPr>
        <w:spacing w:before="0" w:after="0" w:line="408" w:lineRule="exact"/>
        <w:ind w:left="0" w:right="0" w:firstLine="576"/>
        <w:jc w:val="left"/>
      </w:pPr>
      <w:r>
        <w:rPr/>
        <w:t xml:space="preserve">(b) Passed by both houses of the legislature and delivered to the governor no later than March 31st for biennial appropriations and February 15th for supplemental appropriations; and</w:t>
      </w:r>
    </w:p>
    <w:p>
      <w:pPr>
        <w:spacing w:before="0" w:after="0" w:line="408" w:lineRule="exact"/>
        <w:ind w:left="0" w:right="0" w:firstLine="576"/>
        <w:jc w:val="left"/>
      </w:pPr>
      <w:r>
        <w:rPr/>
        <w:t xml:space="preserve">(c) Based on revenue sources and rates existing in law at the time of the enactment of the appropriations and may not rely on changes to revenue laws to support the appropriations.</w:t>
      </w:r>
    </w:p>
    <w:p>
      <w:pPr>
        <w:spacing w:before="0" w:after="0" w:line="408" w:lineRule="exact"/>
        <w:ind w:left="0" w:right="0" w:firstLine="576"/>
        <w:jc w:val="left"/>
      </w:pPr>
      <w:r>
        <w:rPr/>
        <w:t xml:space="preserve">(2) The house of representatives and senate, jointly or separately, may adopt rules or resolutions to implement their respective responsibilities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ADDITIONAL REQUIREMENTS FOR GOVERNOR'S K-12 BUDGET SUBMITTAL. (1)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w:t>
      </w:r>
      <w:r>
        <w:rPr>
          <w:u w:val="single"/>
        </w:rPr>
        <w:t xml:space="preserve">The governor's budget must propose a separate budget document or documents for K-12 basic education under RCW 28A.150.380 and other K-12 purposes.</w:t>
      </w:r>
      <w:r>
        <w:rPr/>
        <w:t xml:space="preserve">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r>
        <w:rPr>
          <w:u w:val="single"/>
        </w:rPr>
        <w:t xml:space="preserve">; however, this proposal may not rely on revenue sources derived from proposed changes in existing statutes to fund expenditures for K-12 basic education under RCW 28A.150.380 and other K-12 purposes</w:t>
      </w:r>
      <w:r>
        <w:rPr/>
        <w:t xml:space="preserve">.</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t xml:space="preserve">For purposes of this subsection (5),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(6)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
      <w:pPr>
        <w:jc w:val="center"/>
      </w:pPr>
      <w:r>
        <w:rPr>
          <w:b/>
        </w:rPr>
        <w:t>--- END ---</w:t>
      </w:r>
    </w:p>
    <w:sectPr>
      <w:pgNumType w:start="1"/>
      <w:footerReference xmlns:r="http://schemas.openxmlformats.org/officeDocument/2006/relationships" r:id="Rcd19f8ad78d941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26dcb93d4e4cea" /><Relationship Type="http://schemas.openxmlformats.org/officeDocument/2006/relationships/footer" Target="/word/footer.xml" Id="Rcd19f8ad78d94138" /></Relationships>
</file>