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04b8806dc47c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6606-S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KING</w:t>
        </w:r>
      </w:r>
      <w:r>
        <w:rPr>
          <w:b/>
        </w:rPr>
        <w:t xml:space="preserve"> </w:t>
        <w:r>
          <w:rPr/>
          <w:t xml:space="preserve">S4748.1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6606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600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Senators King, Hobbs</w:t>
      </w:r>
    </w:p>
    <w:p>
      <w:pPr>
        <w:jc w:val="right"/>
      </w:pPr>
      <w:r>
        <w:rPr>
          <w:b/>
        </w:rPr>
        <w:t xml:space="preserve">ADOPTED 02/16/2016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after line 5,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3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is necessary for the immediate preservation of the public peace, health, or safety, or support of the state government and its existing public institutions, and takes effect immediately.</w:t>
      </w:r>
      <w:r>
        <w:rPr/>
        <w:t xml:space="preserve">"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6606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600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Senators King, Hobbs</w:t>
      </w:r>
    </w:p>
    <w:p>
      <w:pPr>
        <w:jc w:val="right"/>
      </w:pPr>
      <w:r>
        <w:rPr>
          <w:b/>
        </w:rPr>
        <w:t xml:space="preserve">ADOPTED 02/16/2016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 of the title, after "46.70.023;" strike the remainder of the title and insert "reenacting and amending RCW 46.70.011; and declaring an emergency."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Adds an emergency clause.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6b8d7e67e40fb" /></Relationships>
</file>