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e6d304b341a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6438-S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FAIN</w:t>
        </w:r>
      </w:r>
      <w:r>
        <w:rPr>
          <w:b/>
        </w:rPr>
        <w:t xml:space="preserve"> </w:t>
        <w:r>
          <w:rPr/>
          <w:t xml:space="preserve">S4732.1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6438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Fain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40, after "</w:t>
      </w:r>
      <w:r>
        <w:rPr>
          <w:u w:val="single"/>
        </w:rPr>
        <w:t xml:space="preserve">group</w:t>
      </w:r>
      <w:r>
        <w:rPr/>
        <w:t xml:space="preserve">" insert "</w:t>
      </w:r>
      <w:r>
        <w:rPr>
          <w:u w:val="single"/>
        </w:rPr>
        <w:t xml:space="preserve">that: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(i)(A) Is exempt from federal income taxation under 26 U.S.C. Sec. 501(c) of the federal internal revenue code as it exists on the effective date of this section;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Is registered as a charity with the Washington secretary of state under chapter 19.09 RCW, whether such registration is required by law or voluntary;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(ii) Has as its primary purpose the prevention of abuse, neglect, cruelty, exploitation, or homelessness of animals;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(iii) Exclusively obtains dogs, cats, or other animals for placement that are stray or abandoned; surrendered or relinquished by animal owners or caretakers; transferred from other animal rescue organizations; or born in the care of such animal rescue group other than through intentional breeding by the animal rescue group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animal rescue nonprofits do not have to collect sales tax on their pet adoption fees.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0133c5a57448d" /></Relationships>
</file>