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a61e9ba49407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6334-S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BENT</w:t>
        </w:r>
      </w:r>
      <w:r>
        <w:rPr>
          <w:b/>
        </w:rPr>
        <w:t xml:space="preserve"> </w:t>
        <w:r>
          <w:rPr/>
          <w:t xml:space="preserve">S4800.1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6334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642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Benton</w:t>
      </w:r>
    </w:p>
    <w:p>
      <w:pPr>
        <w:jc w:val="right"/>
      </w:pPr>
      <w:r>
        <w:rPr>
          <w:b/>
        </w:rPr>
        <w:t xml:space="preserve">ADOPTED 02/17/2016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29, after "</w:t>
      </w:r>
      <w:r>
        <w:rPr>
          <w:u w:val="single"/>
        </w:rPr>
        <w:t xml:space="preserve">railroad</w:t>
      </w:r>
      <w:r>
        <w:rPr/>
        <w:t xml:space="preserve">" insert "</w:t>
      </w:r>
      <w:r>
        <w:rPr>
          <w:u w:val="single"/>
        </w:rPr>
        <w:t xml:space="preserve">in a county that has a population greater than three hundred fifty thousand, is bordered by the Columbia river, is west of the Cascade mountain range, and borders another state to the south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Applies definition of "freight rail dependent uses" to only Clark County.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c9b9b50044a7b" /></Relationships>
</file>