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2f58c9b1c459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6317-S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S4714.2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6317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ADOPTED 02/17/2016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31,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"(4) The duties of the office of superior courts must be carried out within the existing appropriations of the administrative office of the courts."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activities of the state office of superior courts must be carried out within the existing appropriations of the administrative office of the courts.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a6d82db0f4c46" /></Relationships>
</file>